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PartName="/docProps/custom.xml" ContentType="application/vnd.openxmlformats-officedocument.custom-properti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参考文献（GB/T 7714‑2015 顺序编码制，中文核心/CSSCI为主，含理论、城乡融合、多功能乡村、片区化、上海实证、外文经典、政策文件）</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说明：</w:t>
            </w:r>
          </w:p>
          <w:p>
            <w:pPr>
              <w:numPr>
                <w:numId w:val="1"/>
              </w:numPr>
              <w:spacing w:before="120" w:after="120" w:line="288" w:lineRule="auto"/>
              <w:ind w:left="0"/>
              <w:jc w:val="left"/>
            </w:pPr>
            <w:r>
              <w:rPr>
                <w:rFonts w:eastAsia="等线" w:ascii="Arial" w:cs="Arial" w:hAnsi="Arial"/>
                <w:color w:val="646a73"/>
                <w:sz w:val="22"/>
              </w:rPr>
              <w:t>论文正文引用按 [1][2] 顺序编码；</w:t>
            </w:r>
          </w:p>
          <w:p>
            <w:pPr>
              <w:numPr>
                <w:numId w:val="2"/>
              </w:numPr>
              <w:spacing w:before="120" w:after="120" w:line="288" w:lineRule="auto"/>
              <w:ind w:left="0"/>
              <w:jc w:val="left"/>
            </w:pPr>
            <w:r>
              <w:rPr>
                <w:rFonts w:eastAsia="等线" w:ascii="Arial" w:cs="Arial" w:hAnsi="Arial"/>
                <w:color w:val="646a73"/>
                <w:sz w:val="22"/>
              </w:rPr>
              <w:t>政策文件放在参考文献末尾；</w:t>
            </w:r>
          </w:p>
          <w:p>
            <w:pPr>
              <w:numPr>
                <w:numId w:val="3"/>
              </w:numPr>
              <w:spacing w:before="120" w:after="120" w:line="288" w:lineRule="auto"/>
              <w:ind w:left="0"/>
              <w:jc w:val="left"/>
            </w:pPr>
            <w:r>
              <w:rPr>
                <w:rFonts w:eastAsia="等线" w:ascii="Arial" w:cs="Arial" w:hAnsi="Arial"/>
                <w:color w:val="646a73"/>
                <w:sz w:val="22"/>
              </w:rPr>
              <w:t>外文选用多功能乡村经典 Holmes 文献；</w:t>
            </w:r>
          </w:p>
          <w:p>
            <w:pPr>
              <w:numPr>
                <w:numId w:val="4"/>
              </w:numPr>
              <w:spacing w:before="120" w:after="120" w:line="288" w:lineRule="auto"/>
              <w:ind w:left="0"/>
              <w:jc w:val="left"/>
            </w:pPr>
            <w:r>
              <w:rPr>
                <w:rFonts w:eastAsia="等线" w:ascii="Arial" w:cs="Arial" w:hAnsi="Arial"/>
                <w:color w:val="646a73"/>
                <w:sz w:val="22"/>
              </w:rPr>
              <w:t>你写论文时，知网核对卷期页码，网络首发补齐。</w:t>
            </w:r>
          </w:p>
        </w:tc>
      </w:tr>
    </w:tbl>
    <w:p>
      <w:pPr>
        <w:spacing w:before="120" w:after="120" w:line="288" w:lineRule="auto"/>
        <w:ind w:left="0"/>
        <w:jc w:val="left"/>
      </w:pPr>
      <w:r>
        <w:rPr>
          <w:rFonts w:eastAsia="等线" w:ascii="Arial" w:cs="Arial" w:hAnsi="Arial"/>
          <w:sz w:val="22"/>
        </w:rPr>
        <w:t>[1] 刘彦随，周扬，李玉恒。中国乡村地域系统与乡村振兴战略 [J]. 地理学报，2019,74 (12):2511‑2528.</w:t>
        <w:br/>
        <w:t>[2] 刘彦随。中国新时代城乡融合与乡村振兴 [J]. 地理科学进展，2018,37 (05):577‑586.</w:t>
        <w:br/>
        <w:t>[3] 张荣天，张小林。长三角乡村多功能时空演化特征与驱动机制 [J]. 农业工程学报，2022,38 (13):264‑272.</w:t>
        <w:br/>
        <w:t>[4] 龙花楼，陈坤秋。基于土地系统科学的土地利用转型与城乡融合发展 [J]. 地理学报，2021,76 (02):295‑309.</w:t>
        <w:br/>
        <w:t>[5] 张海鹏。中国城乡关系演变 70 年：从分割到融合 [J]. 中国农村经济，2019 (03):2‑18.</w:t>
        <w:br/>
        <w:t>[6] 杨忍，龙花楼，陈秧分。中国式乡村现代化理论与实践研究前沿探索 (代序)[J]. 地理研究，2026,45 (02):283‑308.</w:t>
        <w:br/>
        <w:t>[7] 王亚华。创造乡村优质生活空间，推进以人为本的乡村振兴 [J]. 中国农村经济，2025 (12):18‑21.</w:t>
        <w:br/>
        <w:t>[8] 李婷婷，张小林，胡晓亮，等。超越新内生发展视角下多元主体推动乡村特色化多功能转型的过程与机制 —— 以南京佘村为例 [J]. 人文地理，2025,40 (02):110‑118.</w:t>
        <w:br/>
        <w:t>[9] 廖敏伶，李明。片区化推进乡村振兴的理论逻辑、典型模式和制度安排 [J]. 当代经济管理，2026 (网络首发).</w:t>
        <w:br/>
        <w:t>[10] 吴江华。大都市郊区乡村转型路径与规划响应 —— 以上海市川沙新镇郊野乡村为例 [J]. 小城镇建设，2025,43 (03):45‑52.</w:t>
        <w:br/>
        <w:t>[11] 胡晓亮，张小林，李红波。西方乡村后生产主义理论研究述评及启示 [J]. 资源科学，2025,47 (06):1121‑1132.</w:t>
        <w:br/>
        <w:t>[12] 徐雪，王永瑜。城乡融合的逻辑机理、多维测度及区域协调发展研究 —— 基于新型城镇化与乡村振兴协调推进视角 [J]. 农业经济问题，2023 (11):49‑62.</w:t>
        <w:br/>
        <w:t>[13] 曲衍波，龙花楼，胡守庚。乡村国土空间价值提升与治理体系构建：挑战、路径与发展 [J]. 自然资源学报，2026 (网络首发).</w:t>
        <w:br/>
        <w:t>[14] Holmes J. Impulses towards a multifunctional transition in rural Australia: Gaps in the research agenda [J]. Journal of Rural Studies,2006,22 (2):142‑160.（多功能乡村经典外文文献）</w:t>
        <w:br/>
      </w:r>
      <w:r>
        <w:rPr>
          <w:rFonts w:eastAsia="等线" w:ascii="Arial" w:cs="Arial" w:hAnsi="Arial"/>
          <w:sz w:val="22"/>
        </w:rPr>
        <w:t>[15] Marsden T. Rural futures: the consumption countryside and its regulation [J]. Sociologia Ruralis,1998,38 (1):1‑16.（后生产主义 / 消费乡村经典）</w:t>
      </w:r>
    </w:p>
    <w:p>
      <w:pPr>
        <w:pStyle w:val="2"/>
        <w:spacing w:before="320" w:after="120" w:line="288" w:lineRule="auto"/>
        <w:ind w:left="0"/>
        <w:jc w:val="left"/>
        <w:outlineLvl w:val="1"/>
      </w:pPr>
      <w:bookmarkStart w:name="heading_0" w:id="0"/>
      <w:r>
        <w:rPr>
          <w:rFonts w:eastAsia="等线" w:ascii="Arial" w:cs="Arial" w:hAnsi="Arial"/>
          <w:b w:val="true"/>
          <w:sz w:val="32"/>
        </w:rPr>
        <w:t>政策文件（GB/T7714‑2015 公文格式）</w:t>
      </w:r>
      <w:bookmarkEnd w:id="0"/>
    </w:p>
    <w:p>
      <w:pPr>
        <w:spacing w:before="120" w:after="120" w:line="288" w:lineRule="auto"/>
        <w:ind w:left="0"/>
        <w:jc w:val="left"/>
      </w:pPr>
      <w:r>
        <w:rPr>
          <w:rFonts w:eastAsia="等线" w:ascii="Arial" w:cs="Arial" w:hAnsi="Arial"/>
          <w:sz w:val="22"/>
        </w:rPr>
        <w:t>[16] 上海市人民政府。上海市 “十五五” 乡村振兴规划 [Z].2025.</w:t>
        <w:br/>
        <w:t>[17] 上海市委，上海市人民政府。关于锚定农业农村现代化扎实推进上海乡村全面振兴的实施意见 [Z].2025.</w:t>
        <w:br/>
        <w:t>[18] 中共中央，国务院。乡村振兴促进法 [Z].2021.</w:t>
        <w:br/>
      </w:r>
      <w:r>
        <w:rPr>
          <w:rFonts w:eastAsia="等线" w:ascii="Arial" w:cs="Arial" w:hAnsi="Arial"/>
          <w:sz w:val="22"/>
        </w:rPr>
        <w:t>[19] 中共中央，国务院。关于全面推进乡村振兴加快农业农村现代化的意见 [Z].2021.</w:t>
      </w:r>
    </w:p>
    <w:p>
      <w:pPr>
        <w:pBdr>
          <w:bottom w:val="single" w:color="dee0e3"/>
          <w:between w:val="single" w:color="dee0e3"/>
        </w:pBdr>
        <w:spacing w:before="120" w:after="120" w:line="288" w:lineRule="auto"/>
        <w:ind w:left="0"/>
      </w:pPr>
    </w:p>
    <w:p>
      <w:pPr>
        <w:pStyle w:val="3"/>
        <w:spacing w:before="300" w:after="120" w:line="288" w:lineRule="auto"/>
        <w:ind w:left="0"/>
        <w:jc w:val="left"/>
        <w:outlineLvl w:val="2"/>
      </w:pPr>
      <w:bookmarkStart w:name="heading_1" w:id="1"/>
      <w:r>
        <w:rPr>
          <w:rFonts w:eastAsia="等线" w:ascii="Arial" w:cs="Arial" w:hAnsi="Arial"/>
          <w:b w:val="true"/>
          <w:sz w:val="30"/>
        </w:rPr>
        <w:t>使用小提示</w:t>
      </w:r>
      <w:bookmarkEnd w:id="1"/>
    </w:p>
    <w:p>
      <w:pPr>
        <w:numPr>
          <w:numId w:val="5"/>
        </w:numPr>
        <w:spacing w:before="120" w:after="120" w:line="288" w:lineRule="auto"/>
        <w:ind w:left="0"/>
        <w:jc w:val="left"/>
      </w:pPr>
      <w:r>
        <w:rPr>
          <w:rFonts w:eastAsia="等线" w:ascii="Arial" w:cs="Arial" w:hAnsi="Arial"/>
          <w:b w:val="true"/>
          <w:sz w:val="22"/>
        </w:rPr>
        <w:t>正文对应引用位置参考</w:t>
      </w:r>
    </w:p>
    <w:p>
      <w:pPr>
        <w:numPr>
          <w:numId w:val="6"/>
        </w:numPr>
        <w:spacing w:before="120" w:after="120" w:line="288" w:lineRule="auto"/>
        <w:ind w:left="0"/>
        <w:jc w:val="left"/>
      </w:pPr>
      <w:r>
        <w:rPr>
          <w:rFonts w:eastAsia="等线" w:ascii="Arial" w:cs="Arial" w:hAnsi="Arial"/>
          <w:sz w:val="22"/>
        </w:rPr>
        <w:t>乡村地域系统理论 → [1]</w:t>
      </w:r>
    </w:p>
    <w:p>
      <w:pPr>
        <w:numPr>
          <w:numId w:val="7"/>
        </w:numPr>
        <w:spacing w:before="120" w:after="120" w:line="288" w:lineRule="auto"/>
        <w:ind w:left="0"/>
        <w:jc w:val="left"/>
      </w:pPr>
      <w:r>
        <w:rPr>
          <w:rFonts w:eastAsia="等线" w:ascii="Arial" w:cs="Arial" w:hAnsi="Arial"/>
          <w:sz w:val="22"/>
        </w:rPr>
        <w:t>城乡融合理论 → [2][5]</w:t>
      </w:r>
    </w:p>
    <w:p>
      <w:pPr>
        <w:numPr>
          <w:numId w:val="8"/>
        </w:numPr>
        <w:spacing w:before="120" w:after="120" w:line="288" w:lineRule="auto"/>
        <w:ind w:left="0"/>
        <w:jc w:val="left"/>
      </w:pPr>
      <w:r>
        <w:rPr>
          <w:rFonts w:eastAsia="等线" w:ascii="Arial" w:cs="Arial" w:hAnsi="Arial"/>
          <w:sz w:val="22"/>
        </w:rPr>
        <w:t>乡村多功能、后生产主义、中西对比 → [3][8][11][14]</w:t>
      </w:r>
    </w:p>
    <w:p>
      <w:pPr>
        <w:numPr>
          <w:numId w:val="9"/>
        </w:numPr>
        <w:spacing w:before="120" w:after="120" w:line="288" w:lineRule="auto"/>
        <w:ind w:left="0"/>
        <w:jc w:val="left"/>
      </w:pPr>
      <w:r>
        <w:rPr>
          <w:rFonts w:eastAsia="等线" w:ascii="Arial" w:cs="Arial" w:hAnsi="Arial"/>
          <w:sz w:val="22"/>
        </w:rPr>
        <w:t>片区化理论逻辑 → [9]</w:t>
      </w:r>
    </w:p>
    <w:p>
      <w:pPr>
        <w:numPr>
          <w:numId w:val="10"/>
        </w:numPr>
        <w:spacing w:before="120" w:after="120" w:line="288" w:lineRule="auto"/>
        <w:ind w:left="0"/>
        <w:jc w:val="left"/>
      </w:pPr>
      <w:r>
        <w:rPr>
          <w:rFonts w:eastAsia="等线" w:ascii="Arial" w:cs="Arial" w:hAnsi="Arial"/>
          <w:sz w:val="22"/>
        </w:rPr>
        <w:t>大都市上海郊区实证 → [10]</w:t>
      </w:r>
    </w:p>
    <w:p>
      <w:pPr>
        <w:numPr>
          <w:numId w:val="11"/>
        </w:numPr>
        <w:spacing w:before="120" w:after="120" w:line="288" w:lineRule="auto"/>
        <w:ind w:left="0"/>
        <w:jc w:val="left"/>
      </w:pPr>
      <w:r>
        <w:rPr>
          <w:rFonts w:eastAsia="等线" w:ascii="Arial" w:cs="Arial" w:hAnsi="Arial"/>
          <w:sz w:val="22"/>
        </w:rPr>
        <w:t>“优质乡村生活空间” 概念 → [7]</w:t>
      </w:r>
    </w:p>
    <w:p>
      <w:pPr>
        <w:numPr>
          <w:numId w:val="12"/>
        </w:numPr>
        <w:spacing w:before="120" w:after="120" w:line="288" w:lineRule="auto"/>
        <w:ind w:left="0"/>
        <w:jc w:val="left"/>
      </w:pPr>
      <w:r>
        <w:rPr>
          <w:rFonts w:eastAsia="等线" w:ascii="Arial" w:cs="Arial" w:hAnsi="Arial"/>
          <w:sz w:val="22"/>
        </w:rPr>
        <w:t>政策条文，正文里标注 [16][17]</w:t>
      </w:r>
    </w:p>
    <w:p>
      <w:pPr>
        <w:numPr>
          <w:numId w:val="13"/>
        </w:numPr>
        <w:spacing w:before="120" w:after="120" w:line="288" w:lineRule="auto"/>
        <w:ind w:left="0"/>
        <w:jc w:val="left"/>
      </w:pPr>
      <w:r>
        <w:rPr>
          <w:rFonts w:eastAsia="等线" w:ascii="Arial" w:cs="Arial" w:hAnsi="Arial"/>
          <w:sz w:val="22"/>
        </w:rPr>
        <w:t>如果你是</w:t>
      </w:r>
      <w:r>
        <w:rPr>
          <w:rFonts w:eastAsia="等线" w:ascii="Arial" w:cs="Arial" w:hAnsi="Arial"/>
          <w:b w:val="true"/>
          <w:sz w:val="22"/>
        </w:rPr>
        <w:t>期刊小论文（8000 字）</w:t>
      </w:r>
      <w:r>
        <w:rPr>
          <w:rFonts w:eastAsia="等线" w:ascii="Arial" w:cs="Arial" w:hAnsi="Arial"/>
          <w:sz w:val="22"/>
        </w:rPr>
        <w:t>：保留 12‑15 篇即可，删掉部分网络首发文献；学位论文可以全部保留。</w:t>
      </w:r>
    </w:p>
    <w:p>
      <w:pPr>
        <w:numPr>
          <w:numId w:val="14"/>
        </w:numPr>
        <w:spacing w:before="120" w:after="120" w:line="288" w:lineRule="auto"/>
        <w:ind w:left="0"/>
        <w:jc w:val="left"/>
      </w:pPr>
      <w:r>
        <w:rPr>
          <w:rFonts w:eastAsia="等线" w:ascii="Arial" w:cs="Arial" w:hAnsi="Arial"/>
          <w:sz w:val="22"/>
        </w:rPr>
        <w:t>如果你需要，我可以帮你把论文正文</w:t>
      </w:r>
      <w:r>
        <w:rPr>
          <w:rFonts w:eastAsia="等线" w:ascii="Arial" w:cs="Arial" w:hAnsi="Arial"/>
          <w:b w:val="true"/>
          <w:sz w:val="22"/>
        </w:rPr>
        <w:t>逐段标注上角标引用</w:t>
      </w:r>
      <w:r>
        <w:rPr>
          <w:rFonts w:eastAsia="等线" w:ascii="Arial" w:cs="Arial" w:hAnsi="Arial"/>
          <w:sz w:val="22"/>
        </w:rPr>
        <w:t>，直接生成带引用标记的完整文稿。</w:t>
      </w:r>
    </w:p>
    <w:p>
      <w:pPr>
        <w:spacing w:before="120" w:after="120" w:line="288" w:lineRule="auto"/>
        <w:ind w:left="0"/>
        <w:jc w:val="left"/>
      </w:pPr>
      <w:r>
        <w:rPr>
          <w:rFonts w:eastAsia="等线" w:ascii="Arial" w:cs="Arial" w:hAnsi="Arial"/>
          <w:sz w:val="22"/>
        </w:rPr>
        <w:t>|（注：部分内容可能由 AI 生成）</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2238059">
    <w:lvl>
      <w:start w:val="1"/>
      <w:numFmt w:val="decimal"/>
      <w:suff w:val="tab"/>
      <w:lvlText w:val="%1."/>
      <w:rPr>
        <w:color w:val="3370ff"/>
      </w:rPr>
    </w:lvl>
  </w:abstractNum>
  <w:abstractNum w:abstractNumId="2238060">
    <w:lvl>
      <w:start w:val="2"/>
      <w:numFmt w:val="decimal"/>
      <w:suff w:val="tab"/>
      <w:lvlText w:val="%1."/>
      <w:rPr>
        <w:color w:val="3370ff"/>
      </w:rPr>
    </w:lvl>
  </w:abstractNum>
  <w:abstractNum w:abstractNumId="2238061">
    <w:lvl>
      <w:start w:val="3"/>
      <w:numFmt w:val="decimal"/>
      <w:suff w:val="tab"/>
      <w:lvlText w:val="%1."/>
      <w:rPr>
        <w:color w:val="3370ff"/>
      </w:rPr>
    </w:lvl>
  </w:abstractNum>
  <w:abstractNum w:abstractNumId="2238062">
    <w:lvl>
      <w:start w:val="4"/>
      <w:numFmt w:val="decimal"/>
      <w:suff w:val="tab"/>
      <w:lvlText w:val="%1."/>
      <w:rPr>
        <w:color w:val="3370ff"/>
      </w:rPr>
    </w:lvl>
  </w:abstractNum>
  <w:abstractNum w:abstractNumId="2238063">
    <w:lvl>
      <w:start w:val="1"/>
      <w:numFmt w:val="decimal"/>
      <w:suff w:val="tab"/>
      <w:lvlText w:val="%1."/>
      <w:rPr>
        <w:color w:val="3370ff"/>
      </w:rPr>
    </w:lvl>
  </w:abstractNum>
  <w:abstractNum w:abstractNumId="2238064">
    <w:lvl>
      <w:numFmt w:val="bullet"/>
      <w:suff w:val="tab"/>
      <w:lvlText w:val="•"/>
      <w:rPr>
        <w:color w:val="3370ff"/>
      </w:rPr>
    </w:lvl>
  </w:abstractNum>
  <w:abstractNum w:abstractNumId="2238065">
    <w:lvl>
      <w:numFmt w:val="bullet"/>
      <w:suff w:val="tab"/>
      <w:lvlText w:val="•"/>
      <w:rPr>
        <w:color w:val="3370ff"/>
      </w:rPr>
    </w:lvl>
  </w:abstractNum>
  <w:abstractNum w:abstractNumId="2238066">
    <w:lvl>
      <w:numFmt w:val="bullet"/>
      <w:suff w:val="tab"/>
      <w:lvlText w:val="•"/>
      <w:rPr>
        <w:color w:val="3370ff"/>
      </w:rPr>
    </w:lvl>
  </w:abstractNum>
  <w:abstractNum w:abstractNumId="2238067">
    <w:lvl>
      <w:numFmt w:val="bullet"/>
      <w:suff w:val="tab"/>
      <w:lvlText w:val="•"/>
      <w:rPr>
        <w:color w:val="3370ff"/>
      </w:rPr>
    </w:lvl>
  </w:abstractNum>
  <w:abstractNum w:abstractNumId="2238068">
    <w:lvl>
      <w:numFmt w:val="bullet"/>
      <w:suff w:val="tab"/>
      <w:lvlText w:val="•"/>
      <w:rPr>
        <w:color w:val="3370ff"/>
      </w:rPr>
    </w:lvl>
  </w:abstractNum>
  <w:abstractNum w:abstractNumId="2238069">
    <w:lvl>
      <w:numFmt w:val="bullet"/>
      <w:suff w:val="tab"/>
      <w:lvlText w:val="•"/>
      <w:rPr>
        <w:color w:val="3370ff"/>
      </w:rPr>
    </w:lvl>
  </w:abstractNum>
  <w:abstractNum w:abstractNumId="2238070">
    <w:lvl>
      <w:numFmt w:val="bullet"/>
      <w:suff w:val="tab"/>
      <w:lvlText w:val="•"/>
      <w:rPr>
        <w:color w:val="3370ff"/>
      </w:rPr>
    </w:lvl>
  </w:abstractNum>
  <w:abstractNum w:abstractNumId="2238071">
    <w:lvl>
      <w:start w:val="2"/>
      <w:numFmt w:val="decimal"/>
      <w:suff w:val="tab"/>
      <w:lvlText w:val="%1."/>
      <w:rPr>
        <w:color w:val="3370ff"/>
      </w:rPr>
    </w:lvl>
  </w:abstractNum>
  <w:abstractNum w:abstractNumId="2238072">
    <w:lvl>
      <w:start w:val="3"/>
      <w:numFmt w:val="decimal"/>
      <w:suff w:val="tab"/>
      <w:lvlText w:val="%1."/>
      <w:rPr>
        <w:color w:val="3370ff"/>
      </w:rPr>
    </w:lvl>
  </w:abstractNum>
  <w:num w:numId="1">
    <w:abstractNumId w:val="2238059"/>
  </w:num>
  <w:num w:numId="2">
    <w:abstractNumId w:val="2238060"/>
  </w:num>
  <w:num w:numId="3">
    <w:abstractNumId w:val="2238061"/>
  </w:num>
  <w:num w:numId="4">
    <w:abstractNumId w:val="2238062"/>
  </w:num>
  <w:num w:numId="5">
    <w:abstractNumId w:val="2238063"/>
  </w:num>
  <w:num w:numId="6">
    <w:abstractNumId w:val="2238064"/>
  </w:num>
  <w:num w:numId="7">
    <w:abstractNumId w:val="2238065"/>
  </w:num>
  <w:num w:numId="8">
    <w:abstractNumId w:val="2238066"/>
  </w:num>
  <w:num w:numId="9">
    <w:abstractNumId w:val="2238067"/>
  </w:num>
  <w:num w:numId="10">
    <w:abstractNumId w:val="2238068"/>
  </w:num>
  <w:num w:numId="11">
    <w:abstractNumId w:val="2238069"/>
  </w:num>
  <w:num w:numId="12">
    <w:abstractNumId w:val="2238070"/>
  </w:num>
  <w:num w:numId="13">
    <w:abstractNumId w:val="2238071"/>
  </w:num>
  <w:num w:numId="14">
    <w:abstractNumId w:val="2238072"/>
  </w:num>
</w:numbering>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numbering.xml" Type="http://schemas.openxmlformats.org/officeDocument/2006/relationships/numbering"/><Relationship Id="rId5" Target="header1.xml" Type="http://schemas.openxmlformats.org/officeDocument/2006/relationships/head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2026-09-06T06:09:56Z</dcterms:created>
  <dc:creator>Apache POI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{"Label":"1","ContentProducer":"001191110102MACQD9K64010000","ProduceID":"7682300548359982376","ReservedCode1":"","ContentPropagator":"","PropagateID":"","ReservedCode2":""}</vt:lpwstr>
  </property>
</Properties>
</file>