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oter+xml" PartName="/word/footer1.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PartName="/docProps/custom.xml" ContentType="application/vnd.openxmlformats-officedocument.custom-propertie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 Id="rId4"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w:body>
    <w:p>
      <w:pPr>
        <w:spacing w:before="480" w:after="480" w:line="288" w:lineRule="auto"/>
        <w:ind w:left="0"/>
      </w:pPr>
      <w:r>
        <w:rPr>
          <w:rFonts w:eastAsia="等线" w:ascii="Arial" w:cs="Arial" w:hAnsi="Arial"/>
          <w:b w:val="true"/>
          <w:sz w:val="52"/>
        </w:rPr>
        <w:t>城乡融合与多功能转型：超大城市农业农村现代化路径研究——以上海为例</w:t>
      </w:r>
    </w:p>
    <w:p>
      <w:pPr>
        <w:pStyle w:val="1"/>
        <w:spacing w:before="380" w:after="140" w:line="288" w:lineRule="auto"/>
        <w:ind w:left="0"/>
        <w:jc w:val="left"/>
        <w:outlineLvl w:val="0"/>
      </w:pPr>
      <w:bookmarkStart w:name="heading_0" w:id="0"/>
      <w:r>
        <w:rPr>
          <w:rFonts w:eastAsia="等线" w:ascii="Arial" w:cs="Arial" w:hAnsi="Arial"/>
          <w:b w:val="true"/>
          <w:sz w:val="36"/>
        </w:rPr>
        <w:t>修订说明</w:t>
      </w:r>
      <w:bookmarkEnd w:id="0"/>
    </w:p>
    <w:p>
      <w:pPr>
        <w:spacing w:before="120" w:after="120" w:line="288" w:lineRule="auto"/>
        <w:ind w:left="0"/>
        <w:jc w:val="left"/>
      </w:pPr>
      <w:r>
        <w:rPr>
          <w:rFonts w:eastAsia="等线" w:ascii="Arial" w:cs="Arial" w:hAnsi="Arial"/>
          <w:sz w:val="22"/>
        </w:rPr>
        <w:t>原有论文整体框架、理论逻辑、六大转型趋势完整成立，不需要大拆大改。本次微调主要做 4 件事：</w:t>
      </w:r>
    </w:p>
    <w:p>
      <w:pPr>
        <w:numPr>
          <w:numId w:val="1"/>
        </w:numPr>
        <w:spacing w:before="120" w:after="120" w:line="288" w:lineRule="auto"/>
        <w:ind w:left="0"/>
        <w:jc w:val="left"/>
      </w:pPr>
      <w:r>
        <w:rPr>
          <w:rFonts w:eastAsia="等线" w:ascii="Arial" w:cs="Arial" w:hAnsi="Arial"/>
          <w:sz w:val="22"/>
        </w:rPr>
        <w:t>把</w:t>
      </w:r>
      <w:r>
        <w:rPr>
          <w:rFonts w:eastAsia="等线" w:ascii="Arial" w:cs="Arial" w:hAnsi="Arial"/>
          <w:b w:val="true"/>
          <w:sz w:val="22"/>
        </w:rPr>
        <w:t>S‑EPCO‑D 模型</w:t>
      </w:r>
      <w:r>
        <w:rPr>
          <w:rFonts w:eastAsia="等线" w:ascii="Arial" w:cs="Arial" w:hAnsi="Arial"/>
          <w:sz w:val="22"/>
        </w:rPr>
        <w:t>嵌入论文，新增一节实践落地模型，打通「理论六大趋势」和「业务实践模型」，对齐演讲稿、PPT 三套材料；</w:t>
      </w:r>
    </w:p>
    <w:p>
      <w:pPr>
        <w:numPr>
          <w:numId w:val="2"/>
        </w:numPr>
        <w:spacing w:before="120" w:after="120" w:line="288" w:lineRule="auto"/>
        <w:ind w:left="0"/>
        <w:jc w:val="left"/>
      </w:pPr>
      <w:r>
        <w:rPr>
          <w:rFonts w:eastAsia="等线" w:ascii="Arial" w:cs="Arial" w:hAnsi="Arial"/>
          <w:sz w:val="22"/>
        </w:rPr>
        <w:t>修正原文小瑕疵：删除多余转义符号、语句小卡顿；</w:t>
      </w:r>
    </w:p>
    <w:p>
      <w:pPr>
        <w:numPr>
          <w:numId w:val="3"/>
        </w:numPr>
        <w:spacing w:before="120" w:after="120" w:line="288" w:lineRule="auto"/>
        <w:ind w:left="0"/>
        <w:jc w:val="left"/>
      </w:pPr>
      <w:r>
        <w:rPr>
          <w:rFonts w:eastAsia="等线" w:ascii="Arial" w:cs="Arial" w:hAnsi="Arial"/>
          <w:sz w:val="22"/>
        </w:rPr>
        <w:t>将原来 “IP 化” 统一调整为学术表述</w:t>
      </w:r>
      <w:r>
        <w:rPr>
          <w:rFonts w:eastAsia="等线" w:ascii="Arial" w:cs="Arial" w:hAnsi="Arial"/>
          <w:b w:val="true"/>
          <w:sz w:val="22"/>
        </w:rPr>
        <w:t>文化品牌化</w:t>
      </w:r>
      <w:r>
        <w:rPr>
          <w:rFonts w:eastAsia="等线" w:ascii="Arial" w:cs="Arial" w:hAnsi="Arial"/>
          <w:sz w:val="22"/>
        </w:rPr>
        <w:t>（论文正文用，摘要、关键词同步调整；汇报材料仍可用 IP 化）；</w:t>
      </w:r>
    </w:p>
    <w:p>
      <w:pPr>
        <w:numPr>
          <w:numId w:val="4"/>
        </w:numPr>
        <w:spacing w:before="120" w:after="120" w:line="288" w:lineRule="auto"/>
        <w:ind w:left="0"/>
        <w:jc w:val="left"/>
      </w:pPr>
      <w:r>
        <w:rPr>
          <w:rFonts w:eastAsia="等线" w:ascii="Arial" w:cs="Arial" w:hAnsi="Arial"/>
          <w:sz w:val="22"/>
        </w:rPr>
        <w:t>正文嵌入参考文献上角标标记，参考文献直接合并到文末；</w:t>
      </w:r>
    </w:p>
    <w:p>
      <w:pPr>
        <w:numPr>
          <w:numId w:val="5"/>
        </w:numPr>
        <w:spacing w:before="120" w:after="120" w:line="288" w:lineRule="auto"/>
        <w:ind w:left="0"/>
        <w:jc w:val="left"/>
      </w:pPr>
      <w:r>
        <w:rPr>
          <w:rFonts w:eastAsia="等线" w:ascii="Arial" w:cs="Arial" w:hAnsi="Arial"/>
          <w:sz w:val="22"/>
        </w:rPr>
        <w:t>少量补充数智化十五五政策指标，和外部汇报口径统一。</w:t>
      </w:r>
    </w:p>
    <w:tbl>
      <w:tblPr>
        <w:tblW w:w="0" w:type="auto"/>
        <w:tblInd w:w="0" w:type="dxa"/>
        <w:tblBorders>
          <w:top w:val="single"/>
          <w:left w:val="single"/>
          <w:bottom w:val="single"/>
          <w:right w:val="single"/>
          <w:insideH w:val="single"/>
          <w:insideV w:val="single"/>
        </w:tblBorders>
        <w:tblLayout w:type="fixed"/>
      </w:tblPr>
      <w:tblGrid>
        <w:gridCol w:w="8280"/>
      </w:tblGrid>
      <w:tr>
        <w:tc>
          <w:tcPr>
            <w:tcW w:w="8280" w:type="dxa"/>
            <w:tcBorders>
              <w:top w:val="nil"/>
              <w:left w:sz="18" w:val="single" w:color="BBBFC4"/>
              <w:bottom w:val="nil"/>
              <w:right w:val="nil"/>
            </w:tcBorders>
            <w:tcMar>
              <w:top w:type="dxa" w:w="60"/>
              <w:left w:type="dxa" w:w="120"/>
              <w:bottom w:type="dxa" w:w="30"/>
              <w:right w:type="dxa" w:w="120"/>
            </w:tcMar>
          </w:tcPr>
          <w:p>
            <w:pPr>
              <w:spacing w:before="120" w:after="120" w:line="288" w:lineRule="auto"/>
              <w:ind w:left="0"/>
              <w:jc w:val="left"/>
            </w:pPr>
            <w:r>
              <w:rPr>
                <w:rFonts w:eastAsia="等线" w:ascii="Arial" w:cs="Arial" w:hAnsi="Arial"/>
                <w:color w:val="646a73"/>
                <w:sz w:val="22"/>
              </w:rPr>
              <w:t>说明：IP 化属于行业口语，学术论文改用</w:t>
            </w:r>
            <w:r>
              <w:rPr>
                <w:rFonts w:eastAsia="等线" w:ascii="Arial" w:cs="Arial" w:hAnsi="Arial"/>
                <w:b w:val="true"/>
                <w:color w:val="646a73"/>
                <w:sz w:val="22"/>
              </w:rPr>
              <w:t>文化品牌化</w:t>
            </w:r>
            <w:r>
              <w:rPr>
                <w:rFonts w:eastAsia="等线" w:ascii="Arial" w:cs="Arial" w:hAnsi="Arial"/>
                <w:color w:val="646a73"/>
                <w:sz w:val="22"/>
              </w:rPr>
              <w:t>，避免审稿人觉得过于商业化；对外演讲稿、PPT 依旧保留 IP 化，两套材料名词做区分。</w:t>
            </w:r>
          </w:p>
        </w:tc>
      </w:tr>
    </w:tbl>
    <w:p>
      <w:pPr>
        <w:pBdr>
          <w:bottom w:val="single" w:color="dee0e3"/>
          <w:between w:val="single" w:color="dee0e3"/>
        </w:pBdr>
        <w:spacing w:before="120" w:after="120" w:line="288" w:lineRule="auto"/>
        <w:ind w:left="0"/>
      </w:pPr>
    </w:p>
    <w:p>
      <w:pPr>
        <w:pStyle w:val="1"/>
        <w:spacing w:before="380" w:after="140" w:line="288" w:lineRule="auto"/>
        <w:ind w:left="0"/>
        <w:jc w:val="left"/>
        <w:outlineLvl w:val="0"/>
      </w:pPr>
      <w:bookmarkStart w:name="heading_1" w:id="1"/>
      <w:r>
        <w:rPr>
          <w:rFonts w:eastAsia="等线" w:ascii="Arial" w:cs="Arial" w:hAnsi="Arial"/>
          <w:b w:val="true"/>
          <w:sz w:val="36"/>
        </w:rPr>
        <w:t>城乡融合与多功能转型：超大城市农业农村现代化路径研究 —— 以上海为例</w:t>
      </w:r>
      <w:bookmarkEnd w:id="1"/>
    </w:p>
    <w:p>
      <w:pPr>
        <w:pStyle w:val="2"/>
        <w:spacing w:before="320" w:after="120" w:line="288" w:lineRule="auto"/>
        <w:ind w:left="0"/>
        <w:jc w:val="left"/>
        <w:outlineLvl w:val="1"/>
      </w:pPr>
      <w:bookmarkStart w:name="heading_2" w:id="2"/>
      <w:r>
        <w:rPr>
          <w:rFonts w:eastAsia="等线" w:ascii="Arial" w:cs="Arial" w:hAnsi="Arial"/>
          <w:b w:val="true"/>
          <w:sz w:val="32"/>
        </w:rPr>
        <w:t>摘要</w:t>
      </w:r>
      <w:bookmarkEnd w:id="2"/>
    </w:p>
    <w:p>
      <w:pPr>
        <w:spacing w:before="120" w:after="120" w:line="288" w:lineRule="auto"/>
        <w:ind w:left="0"/>
        <w:jc w:val="left"/>
      </w:pPr>
      <w:r>
        <w:rPr>
          <w:rFonts w:eastAsia="等线" w:ascii="Arial" w:cs="Arial" w:hAnsi="Arial"/>
          <w:sz w:val="22"/>
        </w:rPr>
        <w:t>农业农村现代化是新时代乡村振兴的总目标，不同资源禀赋与城乡格局下的地区，其现代化发展路径存在显著地域差异。以上海为代表的超大城市，乡村发展深度嵌入城乡融合体系，区别于我国中西部及中小城市乡村以农业生产为主导的现代化模式。在率先实现农业农村现代化、建设优质乡村生活空间的政策目标指引下，上海乡村突破传统单点建设、单村发展、单一农业的发展范式，呈现出</w:t>
      </w:r>
      <w:r>
        <w:rPr>
          <w:rFonts w:eastAsia="等线" w:ascii="Arial" w:cs="Arial" w:hAnsi="Arial"/>
          <w:b w:val="true"/>
          <w:sz w:val="22"/>
        </w:rPr>
        <w:t>片区化、一体化、文化品牌化、数智化、价值化、多元化</w:t>
      </w:r>
      <w:r>
        <w:rPr>
          <w:rFonts w:eastAsia="等线" w:ascii="Arial" w:cs="Arial" w:hAnsi="Arial"/>
          <w:sz w:val="22"/>
        </w:rPr>
        <w:t>六大系统性转型趋势。本文基于多功能乡村理论、城乡融合发展理论与乡村地域系统理论，以上海乡村振兴实践为案例，系统剖析超大城市乡村现代化的演化逻辑与生成机理，并提出适配超大城市乡村片区建设的 S‑EPCO‑D 全周期落地模型。研究发现：城乡深度融合是上海乡村多功能转型的底层动因，城市要素外溢、消费外溢与土地资源紧约束共同倒逼乡村从单一生产功能转向生产、生态、生活、文化、消费复合功能供给；传统行政村空间单元难以承载城乡融合背景下的多功能系统需求，片区化成为超大城市乡村现代化的必要空间载体；一体化机制、文化品牌化赋能、数智化支撑、价值化转化、多元化经营共同构成完整的现代化运行体系。相较于西方市场主导的多功能乡村演化路径，上海形成了规划引领、集体经济筑基、城乡双向赋能、系统运营驱动的中国式超大城市乡村现代化模式。当前上海乡村转型仍存在片区统筹协同不足、文化品牌辨识度不足、价值转化不充分、多元运营机制不稳等问题。研究最后提出适配超大城市特征的优化路径，以期为国内超大、特大城市乡村振兴与农业农村现代化建设提供理论参考与实践借鉴。</w:t>
      </w:r>
    </w:p>
    <w:p>
      <w:pPr>
        <w:spacing w:before="120" w:after="120" w:line="288" w:lineRule="auto"/>
        <w:ind w:left="0"/>
        <w:jc w:val="left"/>
      </w:pPr>
      <w:r>
        <w:rPr>
          <w:rFonts w:eastAsia="等线" w:ascii="Arial" w:cs="Arial" w:hAnsi="Arial"/>
          <w:b w:val="true"/>
          <w:sz w:val="22"/>
        </w:rPr>
        <w:t>关键词</w:t>
      </w:r>
      <w:r>
        <w:rPr>
          <w:rFonts w:eastAsia="等线" w:ascii="Arial" w:cs="Arial" w:hAnsi="Arial"/>
          <w:sz w:val="22"/>
        </w:rPr>
        <w:t>：城乡融合；多功能乡村；农业农村现代化；超大城市；乡村片区化；S‑EPCO‑D 模型；上海</w:t>
      </w:r>
    </w:p>
    <w:p>
      <w:pPr>
        <w:pStyle w:val="2"/>
        <w:spacing w:before="320" w:after="120" w:line="288" w:lineRule="auto"/>
        <w:ind w:left="0"/>
        <w:jc w:val="left"/>
        <w:outlineLvl w:val="1"/>
      </w:pPr>
      <w:bookmarkStart w:name="heading_3" w:id="3"/>
      <w:r>
        <w:rPr>
          <w:rFonts w:eastAsia="等线" w:ascii="Arial" w:cs="Arial" w:hAnsi="Arial"/>
          <w:b w:val="true"/>
          <w:sz w:val="32"/>
        </w:rPr>
        <w:t>一、绪论</w:t>
      </w:r>
      <w:bookmarkEnd w:id="3"/>
    </w:p>
    <w:p>
      <w:pPr>
        <w:pStyle w:val="3"/>
        <w:spacing w:before="300" w:after="120" w:line="288" w:lineRule="auto"/>
        <w:ind w:left="0"/>
        <w:jc w:val="left"/>
        <w:outlineLvl w:val="2"/>
      </w:pPr>
      <w:bookmarkStart w:name="heading_4" w:id="4"/>
      <w:r>
        <w:rPr>
          <w:rFonts w:eastAsia="等线" w:ascii="Arial" w:cs="Arial" w:hAnsi="Arial"/>
          <w:b w:val="true"/>
          <w:sz w:val="30"/>
        </w:rPr>
        <w:t>1.1 研究背景与问题提出</w:t>
      </w:r>
      <w:bookmarkEnd w:id="4"/>
    </w:p>
    <w:p>
      <w:pPr>
        <w:spacing w:before="120" w:after="120" w:line="288" w:lineRule="auto"/>
        <w:ind w:left="0"/>
        <w:jc w:val="left"/>
      </w:pPr>
      <w:r>
        <w:rPr>
          <w:rFonts w:eastAsia="等线" w:ascii="Arial" w:cs="Arial" w:hAnsi="Arial"/>
          <w:sz w:val="22"/>
        </w:rPr>
        <w:t>全面推进乡村振兴、加快建设农业农村现代化是国家重大战略部署。全国层面的农业农村现代化建设形成了统一的目标导向，但在不同区域城乡结构、资源禀赋、城市能级的约束下，现代化的实现路径呈现显著差异化。对于我国多数中西部地区、中小城市乡村而言，农业农村现代化以提升农业生产能力、保障粮食安全、补齐乡村基础公共服务为核心，整体呈现</w:t>
      </w:r>
      <w:r>
        <w:rPr>
          <w:rFonts w:eastAsia="等线" w:ascii="Arial" w:cs="Arial" w:hAnsi="Arial"/>
          <w:b w:val="true"/>
          <w:sz w:val="22"/>
        </w:rPr>
        <w:t>生产功能主导、乡村内源发展</w:t>
      </w:r>
      <w:r>
        <w:rPr>
          <w:rFonts w:eastAsia="等线" w:ascii="Arial" w:cs="Arial" w:hAnsi="Arial"/>
          <w:sz w:val="22"/>
        </w:rPr>
        <w:t>的特征</w:t>
      </w:r>
      <w:r>
        <w:rPr>
          <w:rFonts w:eastAsia="等线" w:ascii="Arial" w:cs="Arial" w:hAnsi="Arial"/>
          <w:sz w:val="22"/>
        </w:rPr>
      </w:r>
      <m:oMathPara>
        <m:oMathParaPr>
          <m:jc m:val="left"/>
        </m:oMathParaPr>
        <m:oMath xmlns:mml="http://www.w3.org/1998/Math/MathML">
          <m:r>
            <w:rPr>
              <w:rFonts w:ascii="Cambria Math" w:hAnsi="Cambria Math"/>
            </w:rPr>
            <m:t>2</m:t>
          </m:r>
        </m:oMath>
      </m:oMathPara>
      <w:r>
        <w:rPr>
          <w:rFonts w:eastAsia="等线" w:ascii="Arial" w:cs="Arial" w:hAnsi="Arial"/>
          <w:sz w:val="22"/>
        </w:rPr>
        <w:t>。</w:t>
      </w:r>
    </w:p>
    <w:p>
      <w:pPr>
        <w:spacing w:before="120" w:after="120" w:line="288" w:lineRule="auto"/>
        <w:ind w:left="0"/>
        <w:jc w:val="left"/>
      </w:pPr>
      <w:r>
        <w:rPr>
          <w:rFonts w:eastAsia="等线" w:ascii="Arial" w:cs="Arial" w:hAnsi="Arial"/>
          <w:sz w:val="22"/>
        </w:rPr>
        <w:t>与之不同，上海作为超大城市，城乡空间高度耦合、要素流动高度频繁、土地资源高度紧缺，乡村发展不再是独立的农村内部建设问题，而是超大城市整体功能布局的重要组成部分</w:t>
      </w:r>
      <w:r>
        <w:rPr>
          <w:rFonts w:eastAsia="等线" w:ascii="Arial" w:cs="Arial" w:hAnsi="Arial"/>
          <w:sz w:val="22"/>
        </w:rPr>
      </w:r>
      <m:oMathPara>
        <m:oMathParaPr>
          <m:jc m:val="left"/>
        </m:oMathParaPr>
        <m:oMath xmlns:mml="http://www.w3.org/1998/Math/MathML">
          <m:r>
            <w:rPr>
              <w:rFonts w:ascii="Cambria Math" w:hAnsi="Cambria Math"/>
            </w:rPr>
            <m:t>10</m:t>
          </m:r>
        </m:oMath>
      </m:oMathPara>
      <w:r>
        <w:rPr>
          <w:rFonts w:eastAsia="等线" w:ascii="Arial" w:cs="Arial" w:hAnsi="Arial"/>
          <w:sz w:val="22"/>
        </w:rPr>
        <w:t>。上海 “十五五” 相关政策明确提出率先实现农业农村现代化、建设优质乡村生活空间的发展目标</w:t>
      </w:r>
      <w:r>
        <w:rPr>
          <w:rFonts w:eastAsia="等线" w:ascii="Arial" w:cs="Arial" w:hAnsi="Arial"/>
          <w:sz w:val="22"/>
        </w:rPr>
      </w:r>
      <m:oMathPara>
        <m:oMathParaPr>
          <m:jc m:val="left"/>
        </m:oMathParaPr>
        <m:oMath xmlns:mml="http://www.w3.org/1998/Math/MathML">
          <m:r>
            <w:rPr>
              <w:rFonts w:ascii="Cambria Math" w:hAnsi="Cambria Math"/>
            </w:rPr>
            <m:t>16</m:t>
          </m:r>
          <m:r>
            <w:rPr>
              <w:rFonts w:ascii="Cambria Math" w:hAnsi="Cambria Math"/>
            </w:rPr>
            <m:t>‑</m:t>
          </m:r>
          <m:r>
            <w:rPr>
              <w:rFonts w:ascii="Cambria Math" w:hAnsi="Cambria Math"/>
            </w:rPr>
            <m:t>17</m:t>
          </m:r>
        </m:oMath>
      </m:oMathPara>
      <w:r>
        <w:rPr>
          <w:rFonts w:eastAsia="等线" w:ascii="Arial" w:cs="Arial" w:hAnsi="Arial"/>
          <w:sz w:val="22"/>
        </w:rPr>
        <w:t>，将乡村定位为服务全市的保供基底、生态底盘、文化空间与游憩载体，突破了传统乡村仅服务农民生产生活的单一定位</w:t>
      </w:r>
      <w:r>
        <w:rPr>
          <w:rFonts w:eastAsia="等线" w:ascii="Arial" w:cs="Arial" w:hAnsi="Arial"/>
          <w:sz w:val="22"/>
        </w:rPr>
      </w:r>
      <m:oMathPara>
        <m:oMathParaPr>
          <m:jc m:val="left"/>
        </m:oMathParaPr>
        <m:oMath xmlns:mml="http://www.w3.org/1998/Math/MathML">
          <m:r>
            <w:rPr>
              <w:rFonts w:ascii="Cambria Math" w:hAnsi="Cambria Math"/>
            </w:rPr>
            <m:t>7</m:t>
          </m:r>
        </m:oMath>
      </m:oMathPara>
      <w:r>
        <w:rPr>
          <w:rFonts w:eastAsia="等线" w:ascii="Arial" w:cs="Arial" w:hAnsi="Arial"/>
          <w:sz w:val="22"/>
        </w:rPr>
        <w:t>。</w:t>
      </w:r>
    </w:p>
    <w:p>
      <w:pPr>
        <w:spacing w:before="120" w:after="120" w:line="288" w:lineRule="auto"/>
        <w:ind w:left="0"/>
        <w:jc w:val="left"/>
      </w:pPr>
      <w:r>
        <w:rPr>
          <w:rFonts w:eastAsia="等线" w:ascii="Arial" w:cs="Arial" w:hAnsi="Arial"/>
          <w:sz w:val="22"/>
        </w:rPr>
        <w:t>在城乡深度融合的背景下，上海乡村振兴实践逐步摆脱 “单点示范、村容整治、重建设轻运营” 的初级阶段，系统性涌现出片区化统筹、建管运维一体化、乡土文化品牌塑造、数字智慧赋能、资源资产价值化、功能经营多元化等全新发展特征。现有研究多聚焦乡村单一建设维度、传统农业现代化路径或通用型乡村振兴策略</w:t>
      </w:r>
      <w:r>
        <w:rPr>
          <w:rFonts w:eastAsia="等线" w:ascii="Arial" w:cs="Arial" w:hAnsi="Arial"/>
          <w:sz w:val="22"/>
        </w:rPr>
      </w:r>
      <m:oMathPara>
        <m:oMathParaPr>
          <m:jc m:val="left"/>
        </m:oMathParaPr>
        <m:oMath xmlns:mml="http://www.w3.org/1998/Math/MathML">
          <m:r>
            <w:rPr>
              <w:rFonts w:ascii="Cambria Math" w:hAnsi="Cambria Math"/>
            </w:rPr>
            <m:t>3</m:t>
          </m:r>
        </m:oMath>
      </m:oMathPara>
      <w:r>
        <w:rPr>
          <w:rFonts w:eastAsia="等线" w:ascii="Arial" w:cs="Arial" w:hAnsi="Arial"/>
          <w:sz w:val="22"/>
        </w:rPr>
        <w:t>，缺少从超大城市城乡融合底层逻辑出发，对乡村多功能转型及系列新趋势的系统性机理解读。</w:t>
      </w:r>
    </w:p>
    <w:p>
      <w:pPr>
        <w:spacing w:before="120" w:after="120" w:line="288" w:lineRule="auto"/>
        <w:ind w:left="0"/>
        <w:jc w:val="left"/>
      </w:pPr>
      <w:r>
        <w:rPr>
          <w:rFonts w:eastAsia="等线" w:ascii="Arial" w:cs="Arial" w:hAnsi="Arial"/>
          <w:sz w:val="22"/>
        </w:rPr>
        <w:t>据此，本文核心研究问题为：超大城市城乡融合格局下，农业农村现代化的特殊内涵是什么？上海乡村呈现的六大转型趋势具有怎样的内在逻辑与理论依据？如何构建适配超大城市乡村片区的全周期落地模型？区别于全国其他地区的超大城市乡村现代化路径如何解释、如何优化？</w:t>
      </w:r>
    </w:p>
    <w:p>
      <w:pPr>
        <w:pStyle w:val="3"/>
        <w:spacing w:before="300" w:after="120" w:line="288" w:lineRule="auto"/>
        <w:ind w:left="0"/>
        <w:jc w:val="left"/>
        <w:outlineLvl w:val="2"/>
      </w:pPr>
      <w:bookmarkStart w:name="heading_5" w:id="5"/>
      <w:r>
        <w:rPr>
          <w:rFonts w:eastAsia="等线" w:ascii="Arial" w:cs="Arial" w:hAnsi="Arial"/>
          <w:b w:val="true"/>
          <w:sz w:val="30"/>
        </w:rPr>
        <w:t>1.2 研究意义</w:t>
      </w:r>
      <w:bookmarkEnd w:id="5"/>
    </w:p>
    <w:p>
      <w:pPr>
        <w:pStyle w:val="4"/>
        <w:spacing w:before="260" w:after="120" w:line="288" w:lineRule="auto"/>
        <w:ind w:left="0"/>
        <w:jc w:val="left"/>
        <w:outlineLvl w:val="3"/>
      </w:pPr>
      <w:bookmarkStart w:name="heading_6" w:id="6"/>
      <w:r>
        <w:rPr>
          <w:rFonts w:eastAsia="等线" w:ascii="Arial" w:cs="Arial" w:hAnsi="Arial"/>
          <w:b w:val="true"/>
          <w:sz w:val="28"/>
        </w:rPr>
        <w:t>（1）理论意义</w:t>
      </w:r>
      <w:bookmarkEnd w:id="6"/>
    </w:p>
    <w:p>
      <w:pPr>
        <w:spacing w:before="120" w:after="120" w:line="288" w:lineRule="auto"/>
        <w:ind w:left="0"/>
        <w:jc w:val="left"/>
      </w:pPr>
      <w:r>
        <w:rPr>
          <w:rFonts w:eastAsia="等线" w:ascii="Arial" w:cs="Arial" w:hAnsi="Arial"/>
          <w:sz w:val="22"/>
        </w:rPr>
        <w:t>本文将</w:t>
      </w:r>
      <w:r>
        <w:rPr>
          <w:rFonts w:eastAsia="等线" w:ascii="Arial" w:cs="Arial" w:hAnsi="Arial"/>
          <w:b w:val="true"/>
          <w:sz w:val="22"/>
        </w:rPr>
        <w:t>多功能乡村理论</w:t>
      </w:r>
      <w:r>
        <w:rPr>
          <w:rFonts w:eastAsia="等线" w:ascii="Arial" w:cs="Arial" w:hAnsi="Arial"/>
          <w:sz w:val="22"/>
        </w:rPr>
        <w:t>与中国超大城市城乡融合格局相结合，弥补了西方多功能理论 “市场主导、私有产权、无集体经济基底” 的原生局限</w:t>
      </w:r>
      <w:r>
        <w:rPr>
          <w:rFonts w:eastAsia="等线" w:ascii="Arial" w:cs="Arial" w:hAnsi="Arial"/>
          <w:sz w:val="22"/>
        </w:rPr>
      </w:r>
      <m:oMathPara>
        <m:oMathParaPr>
          <m:jc m:val="left"/>
        </m:oMathParaPr>
        <m:oMath xmlns:mml="http://www.w3.org/1998/Math/MathML">
          <m:r>
            <w:rPr>
              <w:rFonts w:ascii="Cambria Math" w:hAnsi="Cambria Math"/>
            </w:rPr>
            <m:t>11,14</m:t>
          </m:r>
        </m:oMath>
      </m:oMathPara>
      <w:r>
        <w:rPr>
          <w:rFonts w:eastAsia="等线" w:ascii="Arial" w:cs="Arial" w:hAnsi="Arial"/>
          <w:sz w:val="22"/>
        </w:rPr>
        <w:t>，构建了适配中国制度、适配超大城市场景的多功能乡村现代化分析框架。厘清了 \</w:t>
      </w:r>
      <w:r>
        <w:rPr>
          <w:rFonts w:eastAsia="等线" w:ascii="Arial" w:cs="Arial" w:hAnsi="Arial"/>
          <w:i w:val="true"/>
          <w:sz w:val="22"/>
        </w:rPr>
        <w:t>\</w:t>
      </w:r>
      <w:r>
        <w:rPr>
          <w:rFonts w:eastAsia="等线" w:ascii="Arial" w:cs="Arial" w:hAnsi="Arial"/>
          <w:sz w:val="22"/>
        </w:rPr>
        <w:t xml:space="preserve"> 农业农村现代化（总目标）— 城乡融合（底层动因）— 多功能转型（核心路径）— 六大实践趋势‑实践落地模型（落地表征）\</w:t>
      </w:r>
      <w:r>
        <w:rPr>
          <w:rFonts w:eastAsia="等线" w:ascii="Arial" w:cs="Arial" w:hAnsi="Arial"/>
          <w:i w:val="true"/>
          <w:sz w:val="22"/>
        </w:rPr>
        <w:t>\</w:t>
      </w:r>
      <w:r>
        <w:rPr>
          <w:rFonts w:eastAsia="等线" w:ascii="Arial" w:cs="Arial" w:hAnsi="Arial"/>
          <w:sz w:val="22"/>
        </w:rPr>
        <w:t xml:space="preserve"> 的层级逻辑，丰富了中国式农业农村现代化的地域差异化理论体系</w:t>
      </w:r>
      <w:r>
        <w:rPr>
          <w:rFonts w:eastAsia="等线" w:ascii="Arial" w:cs="Arial" w:hAnsi="Arial"/>
          <w:sz w:val="22"/>
        </w:rPr>
      </w:r>
      <m:oMathPara>
        <m:oMathParaPr>
          <m:jc m:val="left"/>
        </m:oMathParaPr>
        <m:oMath xmlns:mml="http://www.w3.org/1998/Math/MathML">
          <m:r>
            <w:rPr>
              <w:rFonts w:ascii="Cambria Math" w:hAnsi="Cambria Math"/>
            </w:rPr>
            <m:t>6</m:t>
          </m:r>
        </m:oMath>
      </m:oMathPara>
      <w:r>
        <w:rPr>
          <w:rFonts w:eastAsia="等线" w:ascii="Arial" w:cs="Arial" w:hAnsi="Arial"/>
          <w:sz w:val="22"/>
        </w:rPr>
        <w:t>，为特大城市乡村研究提供新的理论视角。</w:t>
      </w:r>
    </w:p>
    <w:p>
      <w:pPr>
        <w:pStyle w:val="4"/>
        <w:spacing w:before="260" w:after="120" w:line="288" w:lineRule="auto"/>
        <w:ind w:left="0"/>
        <w:jc w:val="left"/>
        <w:outlineLvl w:val="3"/>
      </w:pPr>
      <w:bookmarkStart w:name="heading_7" w:id="7"/>
      <w:r>
        <w:rPr>
          <w:rFonts w:eastAsia="等线" w:ascii="Arial" w:cs="Arial" w:hAnsi="Arial"/>
          <w:b w:val="true"/>
          <w:sz w:val="28"/>
        </w:rPr>
        <w:t>（2）实践意义</w:t>
      </w:r>
      <w:bookmarkEnd w:id="7"/>
    </w:p>
    <w:p>
      <w:pPr>
        <w:spacing w:before="120" w:after="120" w:line="288" w:lineRule="auto"/>
        <w:ind w:left="0"/>
        <w:jc w:val="left"/>
      </w:pPr>
      <w:r>
        <w:rPr>
          <w:rFonts w:eastAsia="等线" w:ascii="Arial" w:cs="Arial" w:hAnsi="Arial"/>
          <w:sz w:val="22"/>
        </w:rPr>
        <w:t>本文立足上海一线实践，系统梳理片区化、一体化管护、乡村文化品牌运营、数智赋能、资源价值转化、多元经营的完整落地逻辑，进一步提炼 S‑EPCO‑D 片区全周期落地模型，针对现实痛点提出优化路径，可为上海持续推进和美乡村建设、率先实现农业农村现代化提供实操支撑，同时为全国同类超大城市、特大城市乡村振兴提供可复制的实践范式。</w:t>
      </w:r>
    </w:p>
    <w:p>
      <w:pPr>
        <w:pStyle w:val="3"/>
        <w:spacing w:before="300" w:after="120" w:line="288" w:lineRule="auto"/>
        <w:ind w:left="0"/>
        <w:jc w:val="left"/>
        <w:outlineLvl w:val="2"/>
      </w:pPr>
      <w:bookmarkStart w:name="heading_8" w:id="8"/>
      <w:r>
        <w:rPr>
          <w:rFonts w:eastAsia="等线" w:ascii="Arial" w:cs="Arial" w:hAnsi="Arial"/>
          <w:b w:val="true"/>
          <w:sz w:val="30"/>
        </w:rPr>
        <w:t>1.3 国内外研究综述</w:t>
      </w:r>
      <w:bookmarkEnd w:id="8"/>
    </w:p>
    <w:p>
      <w:pPr>
        <w:pStyle w:val="4"/>
        <w:spacing w:before="260" w:after="120" w:line="288" w:lineRule="auto"/>
        <w:ind w:left="0"/>
        <w:jc w:val="left"/>
        <w:outlineLvl w:val="3"/>
      </w:pPr>
      <w:bookmarkStart w:name="heading_9" w:id="9"/>
      <w:r>
        <w:rPr>
          <w:rFonts w:eastAsia="等线" w:ascii="Arial" w:cs="Arial" w:hAnsi="Arial"/>
          <w:b w:val="true"/>
          <w:sz w:val="28"/>
        </w:rPr>
        <w:t>1.3.1 国外研究进展</w:t>
      </w:r>
      <w:bookmarkEnd w:id="9"/>
    </w:p>
    <w:p>
      <w:pPr>
        <w:spacing w:before="120" w:after="120" w:line="288" w:lineRule="auto"/>
        <w:ind w:left="0"/>
        <w:jc w:val="left"/>
      </w:pPr>
      <w:r>
        <w:rPr>
          <w:rFonts w:eastAsia="等线" w:ascii="Arial" w:cs="Arial" w:hAnsi="Arial"/>
          <w:sz w:val="22"/>
        </w:rPr>
        <w:t>国外乡村现代化研究经历了</w:t>
      </w:r>
      <w:r>
        <w:rPr>
          <w:rFonts w:eastAsia="等线" w:ascii="Arial" w:cs="Arial" w:hAnsi="Arial"/>
          <w:b w:val="true"/>
          <w:sz w:val="22"/>
        </w:rPr>
        <w:t>生产主义乡村 — 后生产主义乡村 — 多功能乡村</w:t>
      </w:r>
      <w:r>
        <w:rPr>
          <w:rFonts w:eastAsia="等线" w:ascii="Arial" w:cs="Arial" w:hAnsi="Arial"/>
          <w:sz w:val="22"/>
        </w:rPr>
        <w:t>的完整理论演进脉络</w:t>
      </w:r>
      <w:r>
        <w:rPr>
          <w:rFonts w:eastAsia="等线" w:ascii="Arial" w:cs="Arial" w:hAnsi="Arial"/>
          <w:sz w:val="22"/>
        </w:rPr>
      </w:r>
      <m:oMathPara>
        <m:oMathParaPr>
          <m:jc m:val="left"/>
        </m:oMathParaPr>
        <m:oMath xmlns:mml="http://www.w3.org/1998/Math/MathML">
          <m:r>
            <w:rPr>
              <w:rFonts w:ascii="Cambria Math" w:hAnsi="Cambria Math"/>
            </w:rPr>
            <m:t>11</m:t>
          </m:r>
        </m:oMath>
      </m:oMathPara>
      <w:r>
        <w:rPr>
          <w:rFonts w:eastAsia="等线" w:ascii="Arial" w:cs="Arial" w:hAnsi="Arial"/>
          <w:sz w:val="22"/>
        </w:rPr>
        <w:t>。二战后，欧美各国以粮食产能最大化为核心，形成生产主义乡村发展模式，乡村空间以农业生产为唯一核心功能。20 世纪 80 年代后，农业产能过剩、乡村生态破坏、乡村衰败等问题凸显，后生产主义理论提出乡村生产功能弱化、消费与生态功能凸显的转型判断，但存在二元对立、解释片面的局限</w:t>
      </w:r>
      <w:r>
        <w:rPr>
          <w:rFonts w:eastAsia="等线" w:ascii="Arial" w:cs="Arial" w:hAnsi="Arial"/>
          <w:sz w:val="22"/>
        </w:rPr>
      </w:r>
      <m:oMathPara>
        <m:oMathParaPr>
          <m:jc m:val="left"/>
        </m:oMathParaPr>
        <m:oMath xmlns:mml="http://www.w3.org/1998/Math/MathML">
          <m:r>
            <w:rPr>
              <w:rFonts w:ascii="Cambria Math" w:hAnsi="Cambria Math"/>
            </w:rPr>
            <m:t>15</m:t>
          </m:r>
        </m:oMath>
      </m:oMathPara>
      <w:r>
        <w:rPr>
          <w:rFonts w:eastAsia="等线" w:ascii="Arial" w:cs="Arial" w:hAnsi="Arial"/>
          <w:sz w:val="22"/>
        </w:rPr>
        <w:t>。</w:t>
      </w:r>
    </w:p>
    <w:p>
      <w:pPr>
        <w:spacing w:before="120" w:after="120" w:line="288" w:lineRule="auto"/>
        <w:ind w:left="0"/>
        <w:jc w:val="left"/>
      </w:pPr>
      <w:r>
        <w:rPr>
          <w:rFonts w:eastAsia="等线" w:ascii="Arial" w:cs="Arial" w:hAnsi="Arial"/>
          <w:sz w:val="22"/>
        </w:rPr>
        <w:t>2000 年前后，</w:t>
      </w:r>
      <w:r>
        <w:rPr>
          <w:rFonts w:eastAsia="等线" w:ascii="Arial" w:cs="Arial" w:hAnsi="Arial"/>
          <w:b w:val="true"/>
          <w:sz w:val="22"/>
        </w:rPr>
        <w:t>多功能乡村理论</w:t>
      </w:r>
      <w:r>
        <w:rPr>
          <w:rFonts w:eastAsia="等线" w:ascii="Arial" w:cs="Arial" w:hAnsi="Arial"/>
          <w:sz w:val="22"/>
        </w:rPr>
        <w:t>逐步成型，摒弃生产与非生产功能的对立认知，提出乡村是承载生产、生态、文化、生活、服务的复合地域系统，多重功能可叠加共存</w:t>
      </w:r>
      <w:r>
        <w:rPr>
          <w:rFonts w:eastAsia="等线" w:ascii="Arial" w:cs="Arial" w:hAnsi="Arial"/>
          <w:sz w:val="22"/>
        </w:rPr>
      </w:r>
      <m:oMathPara>
        <m:oMathParaPr>
          <m:jc m:val="left"/>
        </m:oMathParaPr>
        <m:oMath xmlns:mml="http://www.w3.org/1998/Math/MathML">
          <m:r>
            <w:rPr>
              <w:rFonts w:ascii="Cambria Math" w:hAnsi="Cambria Math"/>
            </w:rPr>
            <m:t>14</m:t>
          </m:r>
        </m:oMath>
      </m:oMathPara>
      <w:r>
        <w:rPr>
          <w:rFonts w:eastAsia="等线" w:ascii="Arial" w:cs="Arial" w:hAnsi="Arial"/>
          <w:sz w:val="22"/>
        </w:rPr>
        <w:t>。欧盟共同农业政策（CAP）、日本六次产业化、一村一品运动，均以多功能乡村为核心理论支撑，形成了片区统筹、生态管护、产业融合、文化赋能的成熟实践体系。但国外理论与实践根植于</w:t>
      </w:r>
      <w:r>
        <w:rPr>
          <w:rFonts w:eastAsia="等线" w:ascii="Arial" w:cs="Arial" w:hAnsi="Arial"/>
          <w:b w:val="true"/>
          <w:sz w:val="22"/>
        </w:rPr>
        <w:t>土地私有、市场自驱动、城乡要素完全自由流动</w:t>
      </w:r>
      <w:r>
        <w:rPr>
          <w:rFonts w:eastAsia="等线" w:ascii="Arial" w:cs="Arial" w:hAnsi="Arial"/>
          <w:sz w:val="22"/>
        </w:rPr>
        <w:t>的制度环境，难以直接适配中国超大城市的发展场景。</w:t>
      </w:r>
    </w:p>
    <w:p>
      <w:pPr>
        <w:pStyle w:val="4"/>
        <w:spacing w:before="260" w:after="120" w:line="288" w:lineRule="auto"/>
        <w:ind w:left="0"/>
        <w:jc w:val="left"/>
        <w:outlineLvl w:val="3"/>
      </w:pPr>
      <w:bookmarkStart w:name="heading_10" w:id="10"/>
      <w:r>
        <w:rPr>
          <w:rFonts w:eastAsia="等线" w:ascii="Arial" w:cs="Arial" w:hAnsi="Arial"/>
          <w:b w:val="true"/>
          <w:sz w:val="28"/>
        </w:rPr>
        <w:t>1.3.2 国内研究进展</w:t>
      </w:r>
      <w:bookmarkEnd w:id="10"/>
    </w:p>
    <w:p>
      <w:pPr>
        <w:spacing w:before="120" w:after="120" w:line="288" w:lineRule="auto"/>
        <w:ind w:left="0"/>
        <w:jc w:val="left"/>
      </w:pPr>
      <w:r>
        <w:rPr>
          <w:rFonts w:eastAsia="等线" w:ascii="Arial" w:cs="Arial" w:hAnsi="Arial"/>
          <w:sz w:val="22"/>
        </w:rPr>
        <w:t>国内学界围绕农业农村现代化、城乡融合、乡村片区建设、乡村运营、资源价值转化等开展了大量研究</w:t>
      </w:r>
      <w:r>
        <w:rPr>
          <w:rFonts w:eastAsia="等线" w:ascii="Arial" w:cs="Arial" w:hAnsi="Arial"/>
          <w:sz w:val="22"/>
        </w:rPr>
      </w:r>
      <m:oMathPara>
        <m:oMathParaPr>
          <m:jc m:val="left"/>
        </m:oMathParaPr>
        <m:oMath xmlns:mml="http://www.w3.org/1998/Math/MathML">
          <m:r>
            <w:rPr>
              <w:rFonts w:ascii="Cambria Math" w:hAnsi="Cambria Math"/>
            </w:rPr>
            <m:t>4</m:t>
          </m:r>
          <m:r>
            <w:rPr>
              <w:rFonts w:ascii="Cambria Math" w:hAnsi="Cambria Math"/>
            </w:rPr>
            <m:t>‑</m:t>
          </m:r>
          <m:r>
            <w:rPr>
              <w:rFonts w:ascii="Cambria Math" w:hAnsi="Cambria Math"/>
            </w:rPr>
            <m:t>5,12</m:t>
          </m:r>
        </m:oMath>
      </m:oMathPara>
      <w:r>
        <w:rPr>
          <w:rFonts w:eastAsia="等线" w:ascii="Arial" w:cs="Arial" w:hAnsi="Arial"/>
          <w:sz w:val="22"/>
        </w:rPr>
        <w:t>。现有研究普遍认可城乡融合是大城市乡村振兴的核心背景，认可乡村多功能价值的重要性</w:t>
      </w:r>
      <w:r>
        <w:rPr>
          <w:rFonts w:eastAsia="等线" w:ascii="Arial" w:cs="Arial" w:hAnsi="Arial"/>
          <w:sz w:val="22"/>
        </w:rPr>
      </w:r>
      <m:oMathPara>
        <m:oMathParaPr>
          <m:jc m:val="left"/>
        </m:oMathParaPr>
        <m:oMath xmlns:mml="http://www.w3.org/1998/Math/MathML">
          <m:r>
            <w:rPr>
              <w:rFonts w:ascii="Cambria Math" w:hAnsi="Cambria Math"/>
            </w:rPr>
            <m:t>3,8</m:t>
          </m:r>
        </m:oMath>
      </m:oMathPara>
      <w:r>
        <w:rPr>
          <w:rFonts w:eastAsia="等线" w:ascii="Arial" w:cs="Arial" w:hAnsi="Arial"/>
          <w:sz w:val="22"/>
        </w:rPr>
        <w:t>，但仍存在不足：一是多聚焦通用型乡村现代化路径，</w:t>
      </w:r>
      <w:r>
        <w:rPr>
          <w:rFonts w:eastAsia="等线" w:ascii="Arial" w:cs="Arial" w:hAnsi="Arial"/>
          <w:b w:val="true"/>
          <w:sz w:val="22"/>
        </w:rPr>
        <w:t>缺少对超大城市乡村现代化差异化内涵的专门阐释</w:t>
      </w:r>
      <w:r>
        <w:rPr>
          <w:rFonts w:eastAsia="等线" w:ascii="Arial" w:cs="Arial" w:hAnsi="Arial"/>
          <w:sz w:val="22"/>
        </w:rPr>
        <w:t>；二是对上海近年来涌现的片区化、一体化管护、文化品牌建设、系统运营等新兴趋势，多为现象描述，缺少统一的理论框架与机理剖析</w:t>
      </w:r>
      <w:r>
        <w:rPr>
          <w:rFonts w:eastAsia="等线" w:ascii="Arial" w:cs="Arial" w:hAnsi="Arial"/>
          <w:sz w:val="22"/>
        </w:rPr>
      </w:r>
      <m:oMathPara>
        <m:oMathParaPr>
          <m:jc m:val="left"/>
        </m:oMathParaPr>
        <m:oMath xmlns:mml="http://www.w3.org/1998/Math/MathML">
          <m:r>
            <w:rPr>
              <w:rFonts w:ascii="Cambria Math" w:hAnsi="Cambria Math"/>
            </w:rPr>
            <m:t>9</m:t>
          </m:r>
        </m:oMath>
      </m:oMathPara>
      <w:r>
        <w:rPr>
          <w:rFonts w:eastAsia="等线" w:ascii="Arial" w:cs="Arial" w:hAnsi="Arial"/>
          <w:sz w:val="22"/>
        </w:rPr>
        <w:t>；三是未能完整建立 “城乡融合 — 多功能转型 — 空间重构 — 机制创新 — 价值实现” 的完整逻辑链条。</w:t>
      </w:r>
    </w:p>
    <w:p>
      <w:pPr>
        <w:pStyle w:val="4"/>
        <w:spacing w:before="260" w:after="120" w:line="288" w:lineRule="auto"/>
        <w:ind w:left="0"/>
        <w:jc w:val="left"/>
        <w:outlineLvl w:val="3"/>
      </w:pPr>
      <w:bookmarkStart w:name="heading_11" w:id="11"/>
      <w:r>
        <w:rPr>
          <w:rFonts w:eastAsia="等线" w:ascii="Arial" w:cs="Arial" w:hAnsi="Arial"/>
          <w:b w:val="true"/>
          <w:sz w:val="28"/>
        </w:rPr>
        <w:t>1.3.3 研究述评</w:t>
      </w:r>
      <w:bookmarkEnd w:id="11"/>
    </w:p>
    <w:p>
      <w:pPr>
        <w:spacing w:before="120" w:after="120" w:line="288" w:lineRule="auto"/>
        <w:ind w:left="0"/>
        <w:jc w:val="left"/>
      </w:pPr>
      <w:r>
        <w:rPr>
          <w:rFonts w:eastAsia="等线" w:ascii="Arial" w:cs="Arial" w:hAnsi="Arial"/>
          <w:sz w:val="22"/>
        </w:rPr>
        <w:t>现有研究已奠定乡村多功能转型、城乡融合发展的理论基础</w:t>
      </w:r>
      <w:r>
        <w:rPr>
          <w:rFonts w:eastAsia="等线" w:ascii="Arial" w:cs="Arial" w:hAnsi="Arial"/>
          <w:sz w:val="22"/>
        </w:rPr>
      </w:r>
      <m:oMathPara>
        <m:oMathParaPr>
          <m:jc m:val="left"/>
        </m:oMathParaPr>
        <m:oMath xmlns:mml="http://www.w3.org/1998/Math/MathML">
          <m:r>
            <w:rPr>
              <w:rFonts w:ascii="Cambria Math" w:hAnsi="Cambria Math"/>
            </w:rPr>
            <m:t>1</m:t>
          </m:r>
          <m:r>
            <w:rPr>
              <w:rFonts w:ascii="Cambria Math" w:hAnsi="Cambria Math"/>
            </w:rPr>
            <m:t>‑</m:t>
          </m:r>
          <m:r>
            <w:rPr>
              <w:rFonts w:ascii="Cambria Math" w:hAnsi="Cambria Math"/>
            </w:rPr>
            <m:t>2</m:t>
          </m:r>
        </m:oMath>
      </m:oMathPara>
      <w:r>
        <w:rPr>
          <w:rFonts w:eastAsia="等线" w:ascii="Arial" w:cs="Arial" w:hAnsi="Arial"/>
          <w:sz w:val="22"/>
        </w:rPr>
        <w:t>，但尚未有效解释上海超大城市乡村为何必须走多功能现代化路径、为何必然呈现六大系统性趋势，缺少政策文本、理论逻辑、实践表征与落地模型三者统一的系统性研究，为本研究留下充足研究空间。</w:t>
      </w:r>
    </w:p>
    <w:p>
      <w:pPr>
        <w:pStyle w:val="3"/>
        <w:spacing w:before="300" w:after="120" w:line="288" w:lineRule="auto"/>
        <w:ind w:left="0"/>
        <w:jc w:val="left"/>
        <w:outlineLvl w:val="2"/>
      </w:pPr>
      <w:bookmarkStart w:name="heading_12" w:id="12"/>
      <w:r>
        <w:rPr>
          <w:rFonts w:eastAsia="等线" w:ascii="Arial" w:cs="Arial" w:hAnsi="Arial"/>
          <w:b w:val="true"/>
          <w:sz w:val="30"/>
        </w:rPr>
        <w:t>1.4 研究思路与方法</w:t>
      </w:r>
      <w:bookmarkEnd w:id="12"/>
    </w:p>
    <w:p>
      <w:pPr>
        <w:spacing w:before="120" w:after="120" w:line="288" w:lineRule="auto"/>
        <w:ind w:left="0"/>
        <w:jc w:val="left"/>
      </w:pPr>
      <w:r>
        <w:rPr>
          <w:rFonts w:eastAsia="等线" w:ascii="Arial" w:cs="Arial" w:hAnsi="Arial"/>
          <w:sz w:val="22"/>
        </w:rPr>
        <w:t>本文以 “理论建构 — 现状梳理 — 机理剖析 — 模型构建 — 问题识别 — 路径优化” 为整体思路，立足超大城市城乡融合独特背景，依托多功能乡村理论、城乡融合发展理论、乡村地域系统理论</w:t>
      </w:r>
      <w:r>
        <w:rPr>
          <w:rFonts w:eastAsia="等线" w:ascii="Arial" w:cs="Arial" w:hAnsi="Arial"/>
          <w:sz w:val="22"/>
        </w:rPr>
      </w:r>
      <m:oMathPara>
        <m:oMathParaPr>
          <m:jc m:val="left"/>
        </m:oMathParaPr>
        <m:oMath xmlns:mml="http://www.w3.org/1998/Math/MathML">
          <m:r>
            <w:rPr>
              <w:rFonts w:ascii="Cambria Math" w:hAnsi="Cambria Math"/>
            </w:rPr>
            <m:t>1</m:t>
          </m:r>
        </m:oMath>
      </m:oMathPara>
      <w:r>
        <w:rPr>
          <w:rFonts w:eastAsia="等线" w:ascii="Arial" w:cs="Arial" w:hAnsi="Arial"/>
          <w:sz w:val="22"/>
        </w:rPr>
        <w:t>，系统解读上海农业农村现代化的差异化路径与六大转型趋势，并提炼片区全周期落地模型。主要采用文献研究法、政策文本分析法、案例实证归纳法开展研究。</w:t>
      </w:r>
    </w:p>
    <w:p>
      <w:pPr>
        <w:pStyle w:val="2"/>
        <w:spacing w:before="320" w:after="120" w:line="288" w:lineRule="auto"/>
        <w:ind w:left="0"/>
        <w:jc w:val="left"/>
        <w:outlineLvl w:val="1"/>
      </w:pPr>
      <w:bookmarkStart w:name="heading_13" w:id="13"/>
      <w:r>
        <w:rPr>
          <w:rFonts w:eastAsia="等线" w:ascii="Arial" w:cs="Arial" w:hAnsi="Arial"/>
          <w:b w:val="true"/>
          <w:sz w:val="32"/>
        </w:rPr>
        <w:t>二、概念界定与理论基础</w:t>
      </w:r>
      <w:bookmarkEnd w:id="13"/>
    </w:p>
    <w:p>
      <w:pPr>
        <w:pStyle w:val="3"/>
        <w:spacing w:before="300" w:after="120" w:line="288" w:lineRule="auto"/>
        <w:ind w:left="0"/>
        <w:jc w:val="left"/>
        <w:outlineLvl w:val="2"/>
      </w:pPr>
      <w:bookmarkStart w:name="heading_14" w:id="14"/>
      <w:r>
        <w:rPr>
          <w:rFonts w:eastAsia="等线" w:ascii="Arial" w:cs="Arial" w:hAnsi="Arial"/>
          <w:b w:val="true"/>
          <w:sz w:val="30"/>
        </w:rPr>
        <w:t>2.1 核心概念界定</w:t>
      </w:r>
      <w:bookmarkEnd w:id="14"/>
    </w:p>
    <w:p>
      <w:pPr>
        <w:pStyle w:val="4"/>
        <w:spacing w:before="260" w:after="120" w:line="288" w:lineRule="auto"/>
        <w:ind w:left="0"/>
        <w:jc w:val="left"/>
        <w:outlineLvl w:val="3"/>
      </w:pPr>
      <w:bookmarkStart w:name="heading_15" w:id="15"/>
      <w:r>
        <w:rPr>
          <w:rFonts w:eastAsia="等线" w:ascii="Arial" w:cs="Arial" w:hAnsi="Arial"/>
          <w:b w:val="true"/>
          <w:sz w:val="28"/>
        </w:rPr>
        <w:t>（1）超大城市农业农村现代化</w:t>
      </w:r>
      <w:bookmarkEnd w:id="15"/>
    </w:p>
    <w:p>
      <w:pPr>
        <w:spacing w:before="120" w:after="120" w:line="288" w:lineRule="auto"/>
        <w:ind w:left="0"/>
        <w:jc w:val="left"/>
      </w:pPr>
      <w:r>
        <w:rPr>
          <w:rFonts w:eastAsia="等线" w:ascii="Arial" w:cs="Arial" w:hAnsi="Arial"/>
          <w:sz w:val="22"/>
        </w:rPr>
        <w:t>区别于全国通用型农业农村现代化，上海超大城市农业农村现代化包含双重维度：一是</w:t>
      </w:r>
      <w:r>
        <w:rPr>
          <w:rFonts w:eastAsia="等线" w:ascii="Arial" w:cs="Arial" w:hAnsi="Arial"/>
          <w:b w:val="true"/>
          <w:sz w:val="22"/>
        </w:rPr>
        <w:t>农业现代化</w:t>
      </w:r>
      <w:r>
        <w:rPr>
          <w:rFonts w:eastAsia="等线" w:ascii="Arial" w:cs="Arial" w:hAnsi="Arial"/>
          <w:sz w:val="22"/>
        </w:rPr>
        <w:t>，严守都市保供底线，发展高效、智慧、都市型现代农业；二是</w:t>
      </w:r>
      <w:r>
        <w:rPr>
          <w:rFonts w:eastAsia="等线" w:ascii="Arial" w:cs="Arial" w:hAnsi="Arial"/>
          <w:b w:val="true"/>
          <w:sz w:val="22"/>
        </w:rPr>
        <w:t>农村现代化</w:t>
      </w:r>
      <w:r>
        <w:rPr>
          <w:rFonts w:eastAsia="等线" w:ascii="Arial" w:cs="Arial" w:hAnsi="Arial"/>
          <w:sz w:val="22"/>
        </w:rPr>
        <w:t>，既实现乡村人居环境、公共服务、基础设施的现代化，保障村民现代生活条件，又建成</w:t>
      </w:r>
      <w:r>
        <w:rPr>
          <w:rFonts w:eastAsia="等线" w:ascii="Arial" w:cs="Arial" w:hAnsi="Arial"/>
          <w:b w:val="true"/>
          <w:sz w:val="22"/>
        </w:rPr>
        <w:t>优质乡村生活空间</w:t>
      </w:r>
      <w:r>
        <w:rPr>
          <w:rFonts w:eastAsia="等线" w:ascii="Arial" w:cs="Arial" w:hAnsi="Arial"/>
          <w:sz w:val="22"/>
        </w:rPr>
        <w:t>，承担超大城市生态涵养、文化传承、市民游憩的公共服务功能</w:t>
      </w:r>
      <w:r>
        <w:rPr>
          <w:rFonts w:eastAsia="等线" w:ascii="Arial" w:cs="Arial" w:hAnsi="Arial"/>
          <w:sz w:val="22"/>
        </w:rPr>
      </w:r>
      <m:oMathPara>
        <m:oMathParaPr>
          <m:jc m:val="left"/>
        </m:oMathParaPr>
        <m:oMath xmlns:mml="http://www.w3.org/1998/Math/MathML">
          <m:r>
            <w:rPr>
              <w:rFonts w:ascii="Cambria Math" w:hAnsi="Cambria Math"/>
            </w:rPr>
            <m:t>7</m:t>
          </m:r>
        </m:oMath>
      </m:oMathPara>
      <w:r>
        <w:rPr>
          <w:rFonts w:eastAsia="等线" w:ascii="Arial" w:cs="Arial" w:hAnsi="Arial"/>
          <w:sz w:val="22"/>
        </w:rPr>
        <w:t>，是城乡一体化框架下的复合型现代化。</w:t>
      </w:r>
    </w:p>
    <w:p>
      <w:pPr>
        <w:pStyle w:val="4"/>
        <w:spacing w:before="260" w:after="120" w:line="288" w:lineRule="auto"/>
        <w:ind w:left="0"/>
        <w:jc w:val="left"/>
        <w:outlineLvl w:val="3"/>
      </w:pPr>
      <w:bookmarkStart w:name="heading_16" w:id="16"/>
      <w:r>
        <w:rPr>
          <w:rFonts w:eastAsia="等线" w:ascii="Arial" w:cs="Arial" w:hAnsi="Arial"/>
          <w:b w:val="true"/>
          <w:sz w:val="28"/>
        </w:rPr>
        <w:t>（2）乡村多功能转型</w:t>
      </w:r>
      <w:bookmarkEnd w:id="16"/>
    </w:p>
    <w:p>
      <w:pPr>
        <w:spacing w:before="120" w:after="120" w:line="288" w:lineRule="auto"/>
        <w:ind w:left="0"/>
        <w:jc w:val="left"/>
      </w:pPr>
      <w:r>
        <w:rPr>
          <w:rFonts w:eastAsia="等线" w:ascii="Arial" w:cs="Arial" w:hAnsi="Arial"/>
          <w:sz w:val="22"/>
        </w:rPr>
        <w:t>指乡村突破单一农业生产功能局限，在城乡要素双向流动背景下，形成</w:t>
      </w:r>
      <w:r>
        <w:rPr>
          <w:rFonts w:eastAsia="等线" w:ascii="Arial" w:cs="Arial" w:hAnsi="Arial"/>
          <w:b w:val="true"/>
          <w:sz w:val="22"/>
        </w:rPr>
        <w:t>生产保供、生态涵养、居住生活、文化传承、消费服务</w:t>
      </w:r>
      <w:r>
        <w:rPr>
          <w:rFonts w:eastAsia="等线" w:ascii="Arial" w:cs="Arial" w:hAnsi="Arial"/>
          <w:sz w:val="22"/>
        </w:rPr>
        <w:t>五大功能协同共生的发展形态，是超大城市乡村适配城市需求、实现高质量现代化的核心路径</w:t>
      </w:r>
      <w:r>
        <w:rPr>
          <w:rFonts w:eastAsia="等线" w:ascii="Arial" w:cs="Arial" w:hAnsi="Arial"/>
          <w:sz w:val="22"/>
        </w:rPr>
      </w:r>
      <m:oMathPara>
        <m:oMathParaPr>
          <m:jc m:val="left"/>
        </m:oMathParaPr>
        <m:oMath xmlns:mml="http://www.w3.org/1998/Math/MathML">
          <m:r>
            <w:rPr>
              <w:rFonts w:ascii="Cambria Math" w:hAnsi="Cambria Math"/>
            </w:rPr>
            <m:t>3</m:t>
          </m:r>
        </m:oMath>
      </m:oMathPara>
      <w:r>
        <w:rPr>
          <w:rFonts w:eastAsia="等线" w:ascii="Arial" w:cs="Arial" w:hAnsi="Arial"/>
          <w:sz w:val="22"/>
        </w:rPr>
        <w:t>。</w:t>
      </w:r>
    </w:p>
    <w:p>
      <w:pPr>
        <w:pStyle w:val="4"/>
        <w:spacing w:before="260" w:after="120" w:line="288" w:lineRule="auto"/>
        <w:ind w:left="0"/>
        <w:jc w:val="left"/>
        <w:outlineLvl w:val="3"/>
      </w:pPr>
      <w:bookmarkStart w:name="heading_17" w:id="17"/>
      <w:r>
        <w:rPr>
          <w:rFonts w:eastAsia="等线" w:ascii="Arial" w:cs="Arial" w:hAnsi="Arial"/>
          <w:b w:val="true"/>
          <w:sz w:val="28"/>
        </w:rPr>
        <w:t>（3）六大转型趋势</w:t>
      </w:r>
      <w:bookmarkEnd w:id="17"/>
    </w:p>
    <w:p>
      <w:pPr>
        <w:spacing w:before="120" w:after="120" w:line="288" w:lineRule="auto"/>
        <w:ind w:left="0"/>
        <w:jc w:val="left"/>
      </w:pPr>
      <w:r>
        <w:rPr>
          <w:rFonts w:eastAsia="等线" w:ascii="Arial" w:cs="Arial" w:hAnsi="Arial"/>
          <w:b w:val="true"/>
          <w:sz w:val="22"/>
        </w:rPr>
        <w:t>片区化</w:t>
      </w:r>
      <w:r>
        <w:rPr>
          <w:rFonts w:eastAsia="等线" w:ascii="Arial" w:cs="Arial" w:hAnsi="Arial"/>
          <w:sz w:val="22"/>
        </w:rPr>
        <w:t>：打破行政村行政边界，以资源同源、空间相连、功能互补为基础，多村组团连片统筹，构建适配多功能落地的中观空间载体</w:t>
      </w:r>
      <w:r>
        <w:rPr>
          <w:rFonts w:eastAsia="等线" w:ascii="Arial" w:cs="Arial" w:hAnsi="Arial"/>
          <w:sz w:val="22"/>
        </w:rPr>
      </w:r>
      <m:oMathPara>
        <m:oMathParaPr>
          <m:jc m:val="left"/>
        </m:oMathParaPr>
        <m:oMath xmlns:mml="http://www.w3.org/1998/Math/MathML">
          <m:r>
            <w:rPr>
              <w:rFonts w:ascii="Cambria Math" w:hAnsi="Cambria Math"/>
            </w:rPr>
            <m:t>9</m:t>
          </m:r>
        </m:oMath>
      </m:oMathPara>
      <w:r>
        <w:rPr>
          <w:rFonts w:eastAsia="等线" w:ascii="Arial" w:cs="Arial" w:hAnsi="Arial"/>
          <w:sz w:val="22"/>
        </w:rPr>
        <w:t>。</w:t>
        <w:br/>
      </w:r>
      <w:r>
        <w:rPr>
          <w:rFonts w:eastAsia="等线" w:ascii="Arial" w:cs="Arial" w:hAnsi="Arial"/>
          <w:b w:val="true"/>
          <w:sz w:val="22"/>
        </w:rPr>
        <w:t>一体化</w:t>
      </w:r>
      <w:r>
        <w:rPr>
          <w:rFonts w:eastAsia="等线" w:ascii="Arial" w:cs="Arial" w:hAnsi="Arial"/>
          <w:sz w:val="22"/>
        </w:rPr>
        <w:t>：以三师联创、一体化综合管护为核心，构建规划 — 设计 — 建设 — 运维 — 管护的全链条闭环机制，破解重建设、轻运维、建管分离难题。</w:t>
        <w:br/>
      </w:r>
      <w:r>
        <w:rPr>
          <w:rFonts w:eastAsia="等线" w:ascii="Arial" w:cs="Arial" w:hAnsi="Arial"/>
          <w:b w:val="true"/>
          <w:sz w:val="22"/>
        </w:rPr>
        <w:t>文化品牌化</w:t>
      </w:r>
      <w:r>
        <w:rPr>
          <w:rFonts w:eastAsia="等线" w:ascii="Arial" w:cs="Arial" w:hAnsi="Arial"/>
          <w:sz w:val="22"/>
        </w:rPr>
        <w:t>：挖掘沪派江南、圩田水网、乡土风貌等本土资源，打造高辨识度乡土文化品牌，实现文化资源符号化、产品化、品牌化。</w:t>
        <w:br/>
      </w:r>
      <w:r>
        <w:rPr>
          <w:rFonts w:eastAsia="等线" w:ascii="Arial" w:cs="Arial" w:hAnsi="Arial"/>
          <w:b w:val="true"/>
          <w:sz w:val="22"/>
        </w:rPr>
        <w:t>数智化</w:t>
      </w:r>
      <w:r>
        <w:rPr>
          <w:rFonts w:eastAsia="等线" w:ascii="Arial" w:cs="Arial" w:hAnsi="Arial"/>
          <w:sz w:val="22"/>
        </w:rPr>
        <w:t>：以数字技术赋能农业生产、乡村治理、空间运营、服务供给，构建乡村现代化技术底座；上海十五五规划提出 2026 年农业生产信息化率≥30%，2030 年提升至 55%</w:t>
      </w:r>
      <w:r>
        <w:rPr>
          <w:rFonts w:eastAsia="等线" w:ascii="Arial" w:cs="Arial" w:hAnsi="Arial"/>
          <w:sz w:val="22"/>
        </w:rPr>
      </w:r>
      <m:oMathPara>
        <m:oMathParaPr>
          <m:jc m:val="left"/>
        </m:oMathParaPr>
        <m:oMath xmlns:mml="http://www.w3.org/1998/Math/MathML">
          <m:r>
            <w:rPr>
              <w:rFonts w:ascii="Cambria Math" w:hAnsi="Cambria Math"/>
            </w:rPr>
            <m:t>16</m:t>
          </m:r>
        </m:oMath>
      </m:oMathPara>
      <w:r>
        <w:rPr>
          <w:rFonts w:eastAsia="等线" w:ascii="Arial" w:cs="Arial" w:hAnsi="Arial"/>
          <w:sz w:val="22"/>
        </w:rPr>
        <w:t>。</w:t>
        <w:br/>
      </w:r>
      <w:r>
        <w:rPr>
          <w:rFonts w:eastAsia="等线" w:ascii="Arial" w:cs="Arial" w:hAnsi="Arial"/>
          <w:b w:val="true"/>
          <w:sz w:val="22"/>
        </w:rPr>
        <w:t>价值化</w:t>
      </w:r>
      <w:r>
        <w:rPr>
          <w:rFonts w:eastAsia="等线" w:ascii="Arial" w:cs="Arial" w:hAnsi="Arial"/>
          <w:sz w:val="22"/>
        </w:rPr>
        <w:t>：通过全域土地综合整治、三产融合、资源盘活，实现乡村生态、文化、闲置集体资源的</w:t>
      </w:r>
      <w:r>
        <w:rPr>
          <w:rFonts w:eastAsia="等线" w:ascii="Arial" w:cs="Arial" w:hAnsi="Arial"/>
          <w:b w:val="true"/>
          <w:sz w:val="22"/>
        </w:rPr>
        <w:t>资源 — 资产 — 资本</w:t>
      </w:r>
      <w:r>
        <w:rPr>
          <w:rFonts w:eastAsia="等线" w:ascii="Arial" w:cs="Arial" w:hAnsi="Arial"/>
          <w:sz w:val="22"/>
        </w:rPr>
        <w:t>价值转化</w:t>
      </w:r>
      <w:r>
        <w:rPr>
          <w:rFonts w:eastAsia="等线" w:ascii="Arial" w:cs="Arial" w:hAnsi="Arial"/>
          <w:sz w:val="22"/>
        </w:rPr>
      </w:r>
      <m:oMathPara>
        <m:oMathParaPr>
          <m:jc m:val="left"/>
        </m:oMathParaPr>
        <m:oMath xmlns:mml="http://www.w3.org/1998/Math/MathML">
          <m:r>
            <w:rPr>
              <w:rFonts w:ascii="Cambria Math" w:hAnsi="Cambria Math"/>
            </w:rPr>
            <m:t>13</m:t>
          </m:r>
        </m:oMath>
      </m:oMathPara>
      <w:r>
        <w:rPr>
          <w:rFonts w:eastAsia="等线" w:ascii="Arial" w:cs="Arial" w:hAnsi="Arial"/>
          <w:sz w:val="22"/>
        </w:rPr>
        <w:t>。</w:t>
        <w:br/>
      </w:r>
      <w:r>
        <w:rPr>
          <w:rFonts w:eastAsia="等线" w:ascii="Arial" w:cs="Arial" w:hAnsi="Arial"/>
          <w:b w:val="true"/>
          <w:sz w:val="22"/>
        </w:rPr>
        <w:t>多元化</w:t>
      </w:r>
      <w:r>
        <w:rPr>
          <w:rFonts w:eastAsia="等线" w:ascii="Arial" w:cs="Arial" w:hAnsi="Arial"/>
          <w:sz w:val="22"/>
        </w:rPr>
        <w:t>：乡村业态多功能拓展，经营主体、运营模式多元发展，形成集体、国企、社会资本协同参与的运营格局。</w:t>
      </w:r>
    </w:p>
    <w:p>
      <w:pPr>
        <w:pStyle w:val="3"/>
        <w:spacing w:before="300" w:after="120" w:line="288" w:lineRule="auto"/>
        <w:ind w:left="0"/>
        <w:jc w:val="left"/>
        <w:outlineLvl w:val="2"/>
      </w:pPr>
      <w:bookmarkStart w:name="heading_18" w:id="18"/>
      <w:r>
        <w:rPr>
          <w:rFonts w:eastAsia="等线" w:ascii="Arial" w:cs="Arial" w:hAnsi="Arial"/>
          <w:b w:val="true"/>
          <w:sz w:val="30"/>
        </w:rPr>
        <w:t>2.2 核心理论基础</w:t>
      </w:r>
      <w:bookmarkEnd w:id="18"/>
    </w:p>
    <w:p>
      <w:pPr>
        <w:pStyle w:val="4"/>
        <w:spacing w:before="260" w:after="120" w:line="288" w:lineRule="auto"/>
        <w:ind w:left="0"/>
        <w:jc w:val="left"/>
        <w:outlineLvl w:val="3"/>
      </w:pPr>
      <w:bookmarkStart w:name="heading_19" w:id="19"/>
      <w:r>
        <w:rPr>
          <w:rFonts w:eastAsia="等线" w:ascii="Arial" w:cs="Arial" w:hAnsi="Arial"/>
          <w:b w:val="true"/>
          <w:sz w:val="28"/>
        </w:rPr>
        <w:t>2.2.1 多功能乡村理论（核心主理论）</w:t>
      </w:r>
      <w:bookmarkEnd w:id="19"/>
    </w:p>
    <w:p>
      <w:pPr>
        <w:spacing w:before="120" w:after="120" w:line="288" w:lineRule="auto"/>
        <w:ind w:left="0"/>
        <w:jc w:val="left"/>
      </w:pPr>
      <w:r>
        <w:rPr>
          <w:rFonts w:eastAsia="等线" w:ascii="Arial" w:cs="Arial" w:hAnsi="Arial"/>
          <w:sz w:val="22"/>
        </w:rPr>
        <w:t>多功能乡村理论是解释本次转型的核心分析范式，核心内涵为：乡村并非单一的农业生产空间，而是具备多重可叠加价值的地域系统。工业化、城镇化后期，社会对乡村的需求从单一粮食供给转向生态、景观、文化、休闲等多元价值需求，推动乡村从生产主义走向多功能复合发展</w:t>
      </w:r>
      <w:r>
        <w:rPr>
          <w:rFonts w:eastAsia="等线" w:ascii="Arial" w:cs="Arial" w:hAnsi="Arial"/>
          <w:sz w:val="22"/>
        </w:rPr>
      </w:r>
      <m:oMathPara>
        <m:oMathParaPr>
          <m:jc m:val="left"/>
        </m:oMathParaPr>
        <m:oMath xmlns:mml="http://www.w3.org/1998/Math/MathML">
          <m:r>
            <w:rPr>
              <w:rFonts w:ascii="Cambria Math" w:hAnsi="Cambria Math"/>
            </w:rPr>
            <m:t>14</m:t>
          </m:r>
        </m:oMath>
      </m:oMathPara>
      <w:r>
        <w:rPr>
          <w:rFonts w:eastAsia="等线" w:ascii="Arial" w:cs="Arial" w:hAnsi="Arial"/>
          <w:sz w:val="22"/>
        </w:rPr>
        <w:t>。</w:t>
      </w:r>
    </w:p>
    <w:p>
      <w:pPr>
        <w:spacing w:before="120" w:after="120" w:line="288" w:lineRule="auto"/>
        <w:ind w:left="0"/>
        <w:jc w:val="left"/>
      </w:pPr>
      <w:r>
        <w:rPr>
          <w:rFonts w:eastAsia="等线" w:ascii="Arial" w:cs="Arial" w:hAnsi="Arial"/>
          <w:sz w:val="22"/>
        </w:rPr>
        <w:t>本研究明确理论适配边界：</w:t>
      </w:r>
      <w:r>
        <w:rPr>
          <w:rFonts w:eastAsia="等线" w:ascii="Arial" w:cs="Arial" w:hAnsi="Arial"/>
          <w:b w:val="true"/>
          <w:sz w:val="22"/>
        </w:rPr>
        <w:t>西方多功能乡村以市场自下而上演化为主，上海多功能乡村以城乡融合为背景、政策规划为引领、集体经济为基底，是本土化、制度化、超大城市化的多功能转型，是对西方理论的本土拓展与补充</w:t>
      </w:r>
      <w:r>
        <w:rPr>
          <w:rFonts w:eastAsia="等线" w:ascii="Arial" w:cs="Arial" w:hAnsi="Arial"/>
          <w:sz w:val="22"/>
        </w:rPr>
      </w:r>
      <m:oMathPara>
        <m:oMathParaPr>
          <m:jc m:val="left"/>
        </m:oMathParaPr>
        <m:oMath xmlns:mml="http://www.w3.org/1998/Math/MathML">
          <m:r>
            <w:rPr>
              <w:rFonts w:ascii="Cambria Math" w:hAnsi="Cambria Math"/>
            </w:rPr>
            <m:t>11</m:t>
          </m:r>
        </m:oMath>
      </m:oMathPara>
      <w:r>
        <w:rPr>
          <w:rFonts w:eastAsia="等线" w:ascii="Arial" w:cs="Arial" w:hAnsi="Arial"/>
          <w:sz w:val="22"/>
        </w:rPr>
        <w:t>。</w:t>
      </w:r>
    </w:p>
    <w:p>
      <w:pPr>
        <w:pStyle w:val="4"/>
        <w:spacing w:before="260" w:after="120" w:line="288" w:lineRule="auto"/>
        <w:ind w:left="0"/>
        <w:jc w:val="left"/>
        <w:outlineLvl w:val="3"/>
      </w:pPr>
      <w:bookmarkStart w:name="heading_20" w:id="20"/>
      <w:r>
        <w:rPr>
          <w:rFonts w:eastAsia="等线" w:ascii="Arial" w:cs="Arial" w:hAnsi="Arial"/>
          <w:b w:val="true"/>
          <w:sz w:val="28"/>
        </w:rPr>
        <w:t>2.2.2 城乡融合发展理论</w:t>
      </w:r>
      <w:bookmarkEnd w:id="20"/>
    </w:p>
    <w:p>
      <w:pPr>
        <w:spacing w:before="120" w:after="120" w:line="288" w:lineRule="auto"/>
        <w:ind w:left="0"/>
        <w:jc w:val="left"/>
      </w:pPr>
      <w:r>
        <w:rPr>
          <w:rFonts w:eastAsia="等线" w:ascii="Arial" w:cs="Arial" w:hAnsi="Arial"/>
          <w:sz w:val="22"/>
        </w:rPr>
        <w:t>城乡融合是上海乡村多功能转型的底层驱动理论</w:t>
      </w:r>
      <w:r>
        <w:rPr>
          <w:rFonts w:eastAsia="等线" w:ascii="Arial" w:cs="Arial" w:hAnsi="Arial"/>
          <w:sz w:val="22"/>
        </w:rPr>
      </w:r>
      <m:oMathPara>
        <m:oMathParaPr>
          <m:jc m:val="left"/>
        </m:oMathParaPr>
        <m:oMath xmlns:mml="http://www.w3.org/1998/Math/MathML">
          <m:r>
            <w:rPr>
              <w:rFonts w:ascii="Cambria Math" w:hAnsi="Cambria Math"/>
            </w:rPr>
            <m:t>2</m:t>
          </m:r>
        </m:oMath>
      </m:oMathPara>
      <w:r>
        <w:rPr>
          <w:rFonts w:eastAsia="等线" w:ascii="Arial" w:cs="Arial" w:hAnsi="Arial"/>
          <w:sz w:val="22"/>
        </w:rPr>
        <w:t>。超大城市城乡要素双向流动、功能互补共生，城市资本、技术、人口、消费持续外溢，倒逼乡村突破传统功能定位；同时乡村作为城市稀缺的生态与空间资源，反向支撑城市高质量发展。城乡深度融合，是上海区别于全国其他地区、必须走多功能现代化路径的根本原因</w:t>
      </w:r>
      <w:r>
        <w:rPr>
          <w:rFonts w:eastAsia="等线" w:ascii="Arial" w:cs="Arial" w:hAnsi="Arial"/>
          <w:sz w:val="22"/>
        </w:rPr>
      </w:r>
      <m:oMathPara>
        <m:oMathParaPr>
          <m:jc m:val="left"/>
        </m:oMathParaPr>
        <m:oMath xmlns:mml="http://www.w3.org/1998/Math/MathML">
          <m:r>
            <w:rPr>
              <w:rFonts w:ascii="Cambria Math" w:hAnsi="Cambria Math"/>
            </w:rPr>
            <m:t>5</m:t>
          </m:r>
        </m:oMath>
      </m:oMathPara>
      <w:r>
        <w:rPr>
          <w:rFonts w:eastAsia="等线" w:ascii="Arial" w:cs="Arial" w:hAnsi="Arial"/>
          <w:sz w:val="22"/>
        </w:rPr>
        <w:t>。</w:t>
      </w:r>
    </w:p>
    <w:p>
      <w:pPr>
        <w:pStyle w:val="4"/>
        <w:spacing w:before="260" w:after="120" w:line="288" w:lineRule="auto"/>
        <w:ind w:left="0"/>
        <w:jc w:val="left"/>
        <w:outlineLvl w:val="3"/>
      </w:pPr>
      <w:bookmarkStart w:name="heading_21" w:id="21"/>
      <w:r>
        <w:rPr>
          <w:rFonts w:eastAsia="等线" w:ascii="Arial" w:cs="Arial" w:hAnsi="Arial"/>
          <w:b w:val="true"/>
          <w:sz w:val="28"/>
        </w:rPr>
        <w:t>2.2.3 乡村地域系统理论</w:t>
      </w:r>
      <w:bookmarkEnd w:id="21"/>
    </w:p>
    <w:p>
      <w:pPr>
        <w:spacing w:before="120" w:after="120" w:line="288" w:lineRule="auto"/>
        <w:ind w:left="0"/>
        <w:jc w:val="left"/>
      </w:pPr>
      <w:r>
        <w:rPr>
          <w:rFonts w:eastAsia="等线" w:ascii="Arial" w:cs="Arial" w:hAnsi="Arial"/>
          <w:sz w:val="22"/>
        </w:rPr>
        <w:t>乡村是跨村域、跨单元的有机地域系统，生态、水系、产业、人文要素均突破行政村边界</w:t>
      </w:r>
      <w:r>
        <w:rPr>
          <w:rFonts w:eastAsia="等线" w:ascii="Arial" w:cs="Arial" w:hAnsi="Arial"/>
          <w:sz w:val="22"/>
        </w:rPr>
      </w:r>
      <m:oMathPara>
        <m:oMathParaPr>
          <m:jc m:val="left"/>
        </m:oMathParaPr>
        <m:oMath xmlns:mml="http://www.w3.org/1998/Math/MathML">
          <m:r>
            <w:rPr>
              <w:rFonts w:ascii="Cambria Math" w:hAnsi="Cambria Math"/>
            </w:rPr>
            <m:t>1</m:t>
          </m:r>
        </m:oMath>
      </m:oMathPara>
      <w:r>
        <w:rPr>
          <w:rFonts w:eastAsia="等线" w:ascii="Arial" w:cs="Arial" w:hAnsi="Arial"/>
          <w:sz w:val="22"/>
        </w:rPr>
        <w:t>。单村尺度无法承载完整的生态治理、产业布局、公共服务与市民游憩功能，</w:t>
      </w:r>
      <w:r>
        <w:rPr>
          <w:rFonts w:eastAsia="等线" w:ascii="Arial" w:cs="Arial" w:hAnsi="Arial"/>
          <w:b w:val="true"/>
          <w:sz w:val="22"/>
        </w:rPr>
        <w:t>为片区化空间重构提供直接理论依据</w:t>
      </w:r>
      <w:r>
        <w:rPr>
          <w:rFonts w:eastAsia="等线" w:ascii="Arial" w:cs="Arial" w:hAnsi="Arial"/>
          <w:sz w:val="22"/>
        </w:rPr>
        <w:t>，解释了多功能落地必须依托大尺度连片空间的内在必然性。</w:t>
      </w:r>
    </w:p>
    <w:p>
      <w:pPr>
        <w:pStyle w:val="3"/>
        <w:spacing w:before="300" w:after="120" w:line="288" w:lineRule="auto"/>
        <w:ind w:left="0"/>
        <w:jc w:val="left"/>
        <w:outlineLvl w:val="2"/>
      </w:pPr>
      <w:bookmarkStart w:name="heading_22" w:id="22"/>
      <w:r>
        <w:rPr>
          <w:rFonts w:eastAsia="等线" w:ascii="Arial" w:cs="Arial" w:hAnsi="Arial"/>
          <w:b w:val="true"/>
          <w:sz w:val="30"/>
        </w:rPr>
        <w:t>2.3 理论分析框架</w:t>
      </w:r>
      <w:bookmarkEnd w:id="22"/>
    </w:p>
    <w:p>
      <w:pPr>
        <w:spacing w:before="120" w:after="120" w:line="288" w:lineRule="auto"/>
        <w:ind w:left="0"/>
        <w:jc w:val="left"/>
      </w:pPr>
      <w:r>
        <w:rPr>
          <w:rFonts w:eastAsia="等线" w:ascii="Arial" w:cs="Arial" w:hAnsi="Arial"/>
          <w:sz w:val="22"/>
        </w:rPr>
        <w:t>本文构建 “</w:t>
      </w:r>
      <w:r>
        <w:rPr>
          <w:rFonts w:eastAsia="等线" w:ascii="Arial" w:cs="Arial" w:hAnsi="Arial"/>
          <w:b w:val="true"/>
          <w:sz w:val="22"/>
        </w:rPr>
        <w:t>动因 — 路径 — 载体 — 机制 — 落地模型 — 结果</w:t>
      </w:r>
      <w:r>
        <w:rPr>
          <w:rFonts w:eastAsia="等线" w:ascii="Arial" w:cs="Arial" w:hAnsi="Arial"/>
          <w:sz w:val="22"/>
        </w:rPr>
        <w:t>” 的完整分析框架：</w:t>
      </w:r>
    </w:p>
    <w:p>
      <w:pPr>
        <w:numPr>
          <w:numId w:val="6"/>
        </w:numPr>
        <w:spacing w:before="120" w:after="120" w:line="288" w:lineRule="auto"/>
        <w:ind w:left="0"/>
        <w:jc w:val="left"/>
      </w:pPr>
      <w:r>
        <w:rPr>
          <w:rFonts w:eastAsia="等线" w:ascii="Arial" w:cs="Arial" w:hAnsi="Arial"/>
          <w:sz w:val="22"/>
        </w:rPr>
        <w:t>顶层动因：超大城市城乡深度融合，城市多元需求重塑乡村功能定位；</w:t>
      </w:r>
    </w:p>
    <w:p>
      <w:pPr>
        <w:numPr>
          <w:numId w:val="7"/>
        </w:numPr>
        <w:spacing w:before="120" w:after="120" w:line="288" w:lineRule="auto"/>
        <w:ind w:left="0"/>
        <w:jc w:val="left"/>
      </w:pPr>
      <w:r>
        <w:rPr>
          <w:rFonts w:eastAsia="等线" w:ascii="Arial" w:cs="Arial" w:hAnsi="Arial"/>
          <w:sz w:val="22"/>
        </w:rPr>
        <w:t>发展路径：摒弃单一生产型现代化，选择多功能复合现代化路径；</w:t>
      </w:r>
    </w:p>
    <w:p>
      <w:pPr>
        <w:numPr>
          <w:numId w:val="8"/>
        </w:numPr>
        <w:spacing w:before="120" w:after="120" w:line="288" w:lineRule="auto"/>
        <w:ind w:left="0"/>
        <w:jc w:val="left"/>
      </w:pPr>
      <w:r>
        <w:rPr>
          <w:rFonts w:eastAsia="等线" w:ascii="Arial" w:cs="Arial" w:hAnsi="Arial"/>
          <w:sz w:val="22"/>
        </w:rPr>
        <w:t>空间载体：以片区化破解单村尺度局限，支撑多功能系统落地；</w:t>
      </w:r>
    </w:p>
    <w:p>
      <w:pPr>
        <w:numPr>
          <w:numId w:val="9"/>
        </w:numPr>
        <w:spacing w:before="120" w:after="120" w:line="288" w:lineRule="auto"/>
        <w:ind w:left="0"/>
        <w:jc w:val="left"/>
      </w:pPr>
      <w:r>
        <w:rPr>
          <w:rFonts w:eastAsia="等线" w:ascii="Arial" w:cs="Arial" w:hAnsi="Arial"/>
          <w:sz w:val="22"/>
        </w:rPr>
        <w:t>保障体系：一体化机制筑基、文化品牌化赋能、数智化支撑、价值化闭环、多元化落地；</w:t>
      </w:r>
    </w:p>
    <w:p>
      <w:pPr>
        <w:numPr>
          <w:numId w:val="10"/>
        </w:numPr>
        <w:spacing w:before="120" w:after="120" w:line="288" w:lineRule="auto"/>
        <w:ind w:left="0"/>
        <w:jc w:val="left"/>
      </w:pPr>
      <w:r>
        <w:rPr>
          <w:rFonts w:eastAsia="等线" w:ascii="Arial" w:cs="Arial" w:hAnsi="Arial"/>
          <w:sz w:val="22"/>
        </w:rPr>
        <w:t>实践载体：S‑EPCO‑D 超大城市乡村片区全周期落地模型；</w:t>
      </w:r>
    </w:p>
    <w:p>
      <w:pPr>
        <w:numPr>
          <w:numId w:val="11"/>
        </w:numPr>
        <w:spacing w:before="120" w:after="120" w:line="288" w:lineRule="auto"/>
        <w:ind w:left="0"/>
        <w:jc w:val="left"/>
      </w:pPr>
      <w:r>
        <w:rPr>
          <w:rFonts w:eastAsia="等线" w:ascii="Arial" w:cs="Arial" w:hAnsi="Arial"/>
          <w:sz w:val="22"/>
        </w:rPr>
        <w:t>最终目标：实现上海超大城市特色农业农村现代化，建成优质乡村生活空间。</w:t>
      </w:r>
    </w:p>
    <w:p>
      <w:pPr>
        <w:pStyle w:val="2"/>
        <w:spacing w:before="320" w:after="120" w:line="288" w:lineRule="auto"/>
        <w:ind w:left="0"/>
        <w:jc w:val="left"/>
        <w:outlineLvl w:val="1"/>
      </w:pPr>
      <w:bookmarkStart w:name="heading_23" w:id="23"/>
      <w:r>
        <w:rPr>
          <w:rFonts w:eastAsia="等线" w:ascii="Arial" w:cs="Arial" w:hAnsi="Arial"/>
          <w:b w:val="true"/>
          <w:sz w:val="32"/>
        </w:rPr>
        <w:t>三、上海乡村振兴阶段性演进与六大转型趋势</w:t>
      </w:r>
      <w:bookmarkEnd w:id="23"/>
    </w:p>
    <w:p>
      <w:pPr>
        <w:pStyle w:val="3"/>
        <w:spacing w:before="300" w:after="120" w:line="288" w:lineRule="auto"/>
        <w:ind w:left="0"/>
        <w:jc w:val="left"/>
        <w:outlineLvl w:val="2"/>
      </w:pPr>
      <w:bookmarkStart w:name="heading_24" w:id="24"/>
      <w:r>
        <w:rPr>
          <w:rFonts w:eastAsia="等线" w:ascii="Arial" w:cs="Arial" w:hAnsi="Arial"/>
          <w:b w:val="true"/>
          <w:sz w:val="30"/>
        </w:rPr>
        <w:t>3.1 发展阶段演进</w:t>
      </w:r>
      <w:bookmarkEnd w:id="24"/>
    </w:p>
    <w:p>
      <w:pPr>
        <w:pStyle w:val="4"/>
        <w:spacing w:before="260" w:after="120" w:line="288" w:lineRule="auto"/>
        <w:ind w:left="0"/>
        <w:jc w:val="left"/>
        <w:outlineLvl w:val="3"/>
      </w:pPr>
      <w:bookmarkStart w:name="heading_25" w:id="25"/>
      <w:r>
        <w:rPr>
          <w:rFonts w:eastAsia="等线" w:ascii="Arial" w:cs="Arial" w:hAnsi="Arial"/>
          <w:b w:val="true"/>
          <w:sz w:val="28"/>
        </w:rPr>
        <w:t>（1）初级示范阶段：单点建设、重形轻质</w:t>
      </w:r>
      <w:bookmarkEnd w:id="25"/>
    </w:p>
    <w:p>
      <w:pPr>
        <w:spacing w:before="120" w:after="120" w:line="288" w:lineRule="auto"/>
        <w:ind w:left="0"/>
        <w:jc w:val="left"/>
      </w:pPr>
      <w:r>
        <w:rPr>
          <w:rFonts w:eastAsia="等线" w:ascii="Arial" w:cs="Arial" w:hAnsi="Arial"/>
          <w:sz w:val="22"/>
        </w:rPr>
        <w:t>前期上海乡村振兴以人居环境整治、示范村单点打造为主，重点补齐硬件短板、改善村容村貌。该阶段以政府投入为主，存在建设碎片化、功能单一、建管脱节、运营缺失、资源沉睡等问题，以 “点状美丽” 为主要特征，尚未形成可持续的现代化发展体系。</w:t>
      </w:r>
    </w:p>
    <w:p>
      <w:pPr>
        <w:pStyle w:val="4"/>
        <w:spacing w:before="260" w:after="120" w:line="288" w:lineRule="auto"/>
        <w:ind w:left="0"/>
        <w:jc w:val="left"/>
        <w:outlineLvl w:val="3"/>
      </w:pPr>
      <w:bookmarkStart w:name="heading_26" w:id="26"/>
      <w:r>
        <w:rPr>
          <w:rFonts w:eastAsia="等线" w:ascii="Arial" w:cs="Arial" w:hAnsi="Arial"/>
          <w:b w:val="true"/>
          <w:sz w:val="28"/>
        </w:rPr>
        <w:t>（2）现代化进阶阶段：片区统筹、系统运营、价值再造</w:t>
      </w:r>
      <w:bookmarkEnd w:id="26"/>
    </w:p>
    <w:p>
      <w:pPr>
        <w:spacing w:before="120" w:after="120" w:line="288" w:lineRule="auto"/>
        <w:ind w:left="0"/>
        <w:jc w:val="left"/>
      </w:pPr>
      <w:r>
        <w:rPr>
          <w:rFonts w:eastAsia="等线" w:ascii="Arial" w:cs="Arial" w:hAnsi="Arial"/>
          <w:sz w:val="22"/>
        </w:rPr>
        <w:t>随着上海率先实现农业农村现代化目标提出，乡村建设进入系统升级阶段。发展重心从 “单点美化” 转向 “片区统筹、功能复合、长效管护、价值变现、持续运营”，在城乡融合驱动下，全面呈现六大系统性转型趋势，从传统乡村建设迈向超大城市多功能乡村现代化</w:t>
      </w:r>
      <w:r>
        <w:rPr>
          <w:rFonts w:eastAsia="等线" w:ascii="Arial" w:cs="Arial" w:hAnsi="Arial"/>
          <w:sz w:val="22"/>
        </w:rPr>
      </w:r>
      <m:oMathPara>
        <m:oMathParaPr>
          <m:jc m:val="left"/>
        </m:oMathParaPr>
        <m:oMath xmlns:mml="http://www.w3.org/1998/Math/MathML">
          <m:r>
            <w:rPr>
              <w:rFonts w:ascii="Cambria Math" w:hAnsi="Cambria Math"/>
            </w:rPr>
            <m:t>16</m:t>
          </m:r>
          <m:r>
            <w:rPr>
              <w:rFonts w:ascii="Cambria Math" w:hAnsi="Cambria Math"/>
            </w:rPr>
            <m:t>‑</m:t>
          </m:r>
          <m:r>
            <w:rPr>
              <w:rFonts w:ascii="Cambria Math" w:hAnsi="Cambria Math"/>
            </w:rPr>
            <m:t>17</m:t>
          </m:r>
        </m:oMath>
      </m:oMathPara>
      <w:r>
        <w:rPr>
          <w:rFonts w:eastAsia="等线" w:ascii="Arial" w:cs="Arial" w:hAnsi="Arial"/>
          <w:sz w:val="22"/>
        </w:rPr>
        <w:t>。</w:t>
      </w:r>
    </w:p>
    <w:p>
      <w:pPr>
        <w:pStyle w:val="3"/>
        <w:spacing w:before="300" w:after="120" w:line="288" w:lineRule="auto"/>
        <w:ind w:left="0"/>
        <w:jc w:val="left"/>
        <w:outlineLvl w:val="2"/>
      </w:pPr>
      <w:bookmarkStart w:name="heading_27" w:id="27"/>
      <w:r>
        <w:rPr>
          <w:rFonts w:eastAsia="等线" w:ascii="Arial" w:cs="Arial" w:hAnsi="Arial"/>
          <w:b w:val="true"/>
          <w:sz w:val="30"/>
        </w:rPr>
        <w:t>3.2 六大核心转型趋势（递进式逻辑）</w:t>
      </w:r>
      <w:bookmarkEnd w:id="27"/>
    </w:p>
    <w:p>
      <w:pPr>
        <w:pStyle w:val="4"/>
        <w:spacing w:before="260" w:after="120" w:line="288" w:lineRule="auto"/>
        <w:ind w:left="0"/>
        <w:jc w:val="left"/>
        <w:outlineLvl w:val="3"/>
      </w:pPr>
      <w:bookmarkStart w:name="heading_28" w:id="28"/>
      <w:r>
        <w:rPr>
          <w:rFonts w:eastAsia="等线" w:ascii="Arial" w:cs="Arial" w:hAnsi="Arial"/>
          <w:b w:val="true"/>
          <w:sz w:val="28"/>
        </w:rPr>
        <w:t>3.2.1 空间重构：从单村碎片化到片区化统筹</w:t>
      </w:r>
      <w:bookmarkEnd w:id="28"/>
    </w:p>
    <w:p>
      <w:pPr>
        <w:spacing w:before="120" w:after="120" w:line="288" w:lineRule="auto"/>
        <w:ind w:left="0"/>
        <w:jc w:val="left"/>
      </w:pPr>
      <w:r>
        <w:rPr>
          <w:rFonts w:eastAsia="等线" w:ascii="Arial" w:cs="Arial" w:hAnsi="Arial"/>
          <w:sz w:val="22"/>
        </w:rPr>
        <w:t>上海乡村行政村单元空间体量小、资源分散、功能受限，无法承接城乡融合背景下的复合功能与城市外溢需求。通过和美乡村片区建设，打破行政壁垒，实现多村资源整合、功能分工、设施共享、产业联动，形成 “一片一特色、一片一功能” 的空间格局，为多功能落地提供核心空间载体</w:t>
      </w:r>
      <w:r>
        <w:rPr>
          <w:rFonts w:eastAsia="等线" w:ascii="Arial" w:cs="Arial" w:hAnsi="Arial"/>
          <w:sz w:val="22"/>
        </w:rPr>
      </w:r>
      <m:oMathPara>
        <m:oMathParaPr>
          <m:jc m:val="left"/>
        </m:oMathParaPr>
        <m:oMath xmlns:mml="http://www.w3.org/1998/Math/MathML">
          <m:r>
            <w:rPr>
              <w:rFonts w:ascii="Cambria Math" w:hAnsi="Cambria Math"/>
            </w:rPr>
            <m:t>9</m:t>
          </m:r>
        </m:oMath>
      </m:oMathPara>
      <w:r>
        <w:rPr>
          <w:rFonts w:eastAsia="等线" w:ascii="Arial" w:cs="Arial" w:hAnsi="Arial"/>
          <w:sz w:val="22"/>
        </w:rPr>
        <w:t>。</w:t>
      </w:r>
    </w:p>
    <w:p>
      <w:pPr>
        <w:pStyle w:val="4"/>
        <w:spacing w:before="260" w:after="120" w:line="288" w:lineRule="auto"/>
        <w:ind w:left="0"/>
        <w:jc w:val="left"/>
        <w:outlineLvl w:val="3"/>
      </w:pPr>
      <w:bookmarkStart w:name="heading_29" w:id="29"/>
      <w:r>
        <w:rPr>
          <w:rFonts w:eastAsia="等线" w:ascii="Arial" w:cs="Arial" w:hAnsi="Arial"/>
          <w:b w:val="true"/>
          <w:sz w:val="28"/>
        </w:rPr>
        <w:t>3.2.2 机制重构：从建管分离到一体化闭环运维</w:t>
      </w:r>
      <w:bookmarkEnd w:id="29"/>
    </w:p>
    <w:p>
      <w:pPr>
        <w:spacing w:before="120" w:after="120" w:line="288" w:lineRule="auto"/>
        <w:ind w:left="0"/>
        <w:jc w:val="left"/>
      </w:pPr>
      <w:r>
        <w:rPr>
          <w:rFonts w:eastAsia="等线" w:ascii="Arial" w:cs="Arial" w:hAnsi="Arial"/>
          <w:sz w:val="22"/>
        </w:rPr>
        <w:t>依托三师联创全过程介入、乡村一体化综合管护制度，构建规划、设计、建设、运维、管护一体化闭环体系。破解传统乡村建设 “重建设、轻管护、重硬件、轻运营” 的顽疾，保障优质乡村生活空间的长期品质，夯实乡村现代化的制度基础。</w:t>
      </w:r>
    </w:p>
    <w:p>
      <w:pPr>
        <w:pStyle w:val="4"/>
        <w:spacing w:before="260" w:after="120" w:line="288" w:lineRule="auto"/>
        <w:ind w:left="0"/>
        <w:jc w:val="left"/>
        <w:outlineLvl w:val="3"/>
      </w:pPr>
      <w:bookmarkStart w:name="heading_30" w:id="30"/>
      <w:r>
        <w:rPr>
          <w:rFonts w:eastAsia="等线" w:ascii="Arial" w:cs="Arial" w:hAnsi="Arial"/>
          <w:b w:val="true"/>
          <w:sz w:val="28"/>
        </w:rPr>
        <w:t>3.2.3 文化重构：从资源沉睡到文化品牌化赋能</w:t>
      </w:r>
      <w:bookmarkEnd w:id="30"/>
    </w:p>
    <w:p>
      <w:pPr>
        <w:spacing w:before="120" w:after="120" w:line="288" w:lineRule="auto"/>
        <w:ind w:left="0"/>
        <w:jc w:val="left"/>
      </w:pPr>
      <w:r>
        <w:rPr>
          <w:rFonts w:eastAsia="等线" w:ascii="Arial" w:cs="Arial" w:hAnsi="Arial"/>
          <w:sz w:val="22"/>
        </w:rPr>
        <w:t>系统挖掘上海江南水乡、圩田聚落、海塘文化、乡土民居等本土资源，摆脱千村一面的同质化困境。通过文化品牌塑造，将乡土文化资源转化为可体验、可传播、可消费的乡村产品，激活乡村文化功能，对接城市市民文化消费需求。</w:t>
      </w:r>
    </w:p>
    <w:p>
      <w:pPr>
        <w:pStyle w:val="4"/>
        <w:spacing w:before="260" w:after="120" w:line="288" w:lineRule="auto"/>
        <w:ind w:left="0"/>
        <w:jc w:val="left"/>
        <w:outlineLvl w:val="3"/>
      </w:pPr>
      <w:bookmarkStart w:name="heading_31" w:id="31"/>
      <w:r>
        <w:rPr>
          <w:rFonts w:eastAsia="等线" w:ascii="Arial" w:cs="Arial" w:hAnsi="Arial"/>
          <w:b w:val="true"/>
          <w:sz w:val="28"/>
        </w:rPr>
        <w:t>3.2.4 技术重构：从传统治理到数智化全域赋能</w:t>
      </w:r>
      <w:bookmarkEnd w:id="31"/>
    </w:p>
    <w:p>
      <w:pPr>
        <w:spacing w:before="120" w:after="120" w:line="288" w:lineRule="auto"/>
        <w:ind w:left="0"/>
        <w:jc w:val="left"/>
      </w:pPr>
      <w:r>
        <w:rPr>
          <w:rFonts w:eastAsia="等线" w:ascii="Arial" w:cs="Arial" w:hAnsi="Arial"/>
          <w:sz w:val="22"/>
        </w:rPr>
        <w:t>以数字乡村建设为抓手，将城市数字治理体系、智慧农业技术下沉乡村，覆盖农业生产、乡村治理、生态管护、文旅运营、民生服务全链条。数智化作为贯穿所有转型环节的通用技术底座，全面提升乡村现代化治理与运营效率</w:t>
      </w:r>
      <w:r>
        <w:rPr>
          <w:rFonts w:eastAsia="等线" w:ascii="Arial" w:cs="Arial" w:hAnsi="Arial"/>
          <w:sz w:val="22"/>
        </w:rPr>
      </w:r>
      <m:oMathPara>
        <m:oMathParaPr>
          <m:jc m:val="left"/>
        </m:oMathParaPr>
        <m:oMath xmlns:mml="http://www.w3.org/1998/Math/MathML">
          <m:r>
            <w:rPr>
              <w:rFonts w:ascii="Cambria Math" w:hAnsi="Cambria Math"/>
            </w:rPr>
            <m:t>16</m:t>
          </m:r>
        </m:oMath>
      </m:oMathPara>
      <w:r>
        <w:rPr>
          <w:rFonts w:eastAsia="等线" w:ascii="Arial" w:cs="Arial" w:hAnsi="Arial"/>
          <w:sz w:val="22"/>
        </w:rPr>
        <w:t>。</w:t>
      </w:r>
    </w:p>
    <w:p>
      <w:pPr>
        <w:pStyle w:val="4"/>
        <w:spacing w:before="260" w:after="120" w:line="288" w:lineRule="auto"/>
        <w:ind w:left="0"/>
        <w:jc w:val="left"/>
        <w:outlineLvl w:val="3"/>
      </w:pPr>
      <w:bookmarkStart w:name="heading_32" w:id="32"/>
      <w:r>
        <w:rPr>
          <w:rFonts w:eastAsia="等线" w:ascii="Arial" w:cs="Arial" w:hAnsi="Arial"/>
          <w:b w:val="true"/>
          <w:sz w:val="28"/>
        </w:rPr>
        <w:t>3.2.5 价值重构：从资源闲置到价值化闭环变现</w:t>
      </w:r>
      <w:bookmarkEnd w:id="32"/>
    </w:p>
    <w:p>
      <w:pPr>
        <w:spacing w:before="120" w:after="120" w:line="288" w:lineRule="auto"/>
        <w:ind w:left="0"/>
        <w:jc w:val="left"/>
      </w:pPr>
      <w:r>
        <w:rPr>
          <w:rFonts w:eastAsia="等线" w:ascii="Arial" w:cs="Arial" w:hAnsi="Arial"/>
          <w:sz w:val="22"/>
        </w:rPr>
        <w:t>依托全域土地综合整治、集体资产盘活、一二三产深度融合，推动乡村生态资源、文化资源、土地资源、闲置资产从 “沉睡资源” 转化为可收益的资产资本，构建乡村内生造血机制，破解政府单一输血的不可持续难题</w:t>
      </w:r>
      <w:r>
        <w:rPr>
          <w:rFonts w:eastAsia="等线" w:ascii="Arial" w:cs="Arial" w:hAnsi="Arial"/>
          <w:sz w:val="22"/>
        </w:rPr>
      </w:r>
      <m:oMathPara>
        <m:oMathParaPr>
          <m:jc m:val="left"/>
        </m:oMathParaPr>
        <m:oMath xmlns:mml="http://www.w3.org/1998/Math/MathML">
          <m:r>
            <w:rPr>
              <w:rFonts w:ascii="Cambria Math" w:hAnsi="Cambria Math"/>
            </w:rPr>
            <m:t>13</m:t>
          </m:r>
        </m:oMath>
      </m:oMathPara>
      <w:r>
        <w:rPr>
          <w:rFonts w:eastAsia="等线" w:ascii="Arial" w:cs="Arial" w:hAnsi="Arial"/>
          <w:sz w:val="22"/>
        </w:rPr>
        <w:t>。</w:t>
      </w:r>
    </w:p>
    <w:p>
      <w:pPr>
        <w:pStyle w:val="4"/>
        <w:spacing w:before="260" w:after="120" w:line="288" w:lineRule="auto"/>
        <w:ind w:left="0"/>
        <w:jc w:val="left"/>
        <w:outlineLvl w:val="3"/>
      </w:pPr>
      <w:bookmarkStart w:name="heading_33" w:id="33"/>
      <w:r>
        <w:rPr>
          <w:rFonts w:eastAsia="等线" w:ascii="Arial" w:cs="Arial" w:hAnsi="Arial"/>
          <w:b w:val="true"/>
          <w:sz w:val="28"/>
        </w:rPr>
        <w:t>3.2.6 业态重构：从单一农业到多元化复合经营</w:t>
      </w:r>
      <w:bookmarkEnd w:id="33"/>
    </w:p>
    <w:p>
      <w:pPr>
        <w:spacing w:before="120" w:after="120" w:line="288" w:lineRule="auto"/>
        <w:ind w:left="0"/>
        <w:jc w:val="left"/>
      </w:pPr>
      <w:r>
        <w:rPr>
          <w:rFonts w:eastAsia="等线" w:ascii="Arial" w:cs="Arial" w:hAnsi="Arial"/>
          <w:sz w:val="22"/>
        </w:rPr>
        <w:t>彻底突破传统单一农业生产模式，拓展生态涵养、文化体验、休闲游憩、科普教育等多元功能；同时形成村集体、国有平台、社会企业、村民多元主体协同运营格局，实现乡村功能多元化、经营模式多元化、收益渠道多元化</w:t>
      </w:r>
      <w:r>
        <w:rPr>
          <w:rFonts w:eastAsia="等线" w:ascii="Arial" w:cs="Arial" w:hAnsi="Arial"/>
          <w:sz w:val="22"/>
        </w:rPr>
      </w:r>
      <m:oMathPara>
        <m:oMathParaPr>
          <m:jc m:val="left"/>
        </m:oMathParaPr>
        <m:oMath xmlns:mml="http://www.w3.org/1998/Math/MathML">
          <m:r>
            <w:rPr>
              <w:rFonts w:ascii="Cambria Math" w:hAnsi="Cambria Math"/>
            </w:rPr>
            <m:t>8</m:t>
          </m:r>
        </m:oMath>
      </m:oMathPara>
      <w:r>
        <w:rPr>
          <w:rFonts w:eastAsia="等线" w:ascii="Arial" w:cs="Arial" w:hAnsi="Arial"/>
          <w:sz w:val="22"/>
        </w:rPr>
        <w:t>。</w:t>
      </w:r>
    </w:p>
    <w:p>
      <w:pPr>
        <w:pStyle w:val="3"/>
        <w:spacing w:before="300" w:after="120" w:line="288" w:lineRule="auto"/>
        <w:ind w:left="0"/>
        <w:jc w:val="left"/>
        <w:outlineLvl w:val="2"/>
      </w:pPr>
      <w:bookmarkStart w:name="heading_34" w:id="34"/>
      <w:r>
        <w:rPr>
          <w:rFonts w:eastAsia="等线" w:ascii="Arial" w:cs="Arial" w:hAnsi="Arial"/>
          <w:b w:val="true"/>
          <w:sz w:val="30"/>
        </w:rPr>
        <w:t>3.3 S‑EPCO‑D：超大城市乡村片区全周期落地模型</w:t>
      </w:r>
      <w:bookmarkEnd w:id="34"/>
    </w:p>
    <w:p>
      <w:pPr>
        <w:spacing w:before="120" w:after="120" w:line="288" w:lineRule="auto"/>
        <w:ind w:left="0"/>
        <w:jc w:val="left"/>
      </w:pPr>
      <w:r>
        <w:rPr>
          <w:rFonts w:eastAsia="等线" w:ascii="Arial" w:cs="Arial" w:hAnsi="Arial"/>
          <w:sz w:val="22"/>
        </w:rPr>
        <w:t>基于上述六大转型实践，本文提炼</w:t>
      </w:r>
      <w:r>
        <w:rPr>
          <w:rFonts w:eastAsia="等线" w:ascii="Arial" w:cs="Arial" w:hAnsi="Arial"/>
          <w:b w:val="true"/>
          <w:sz w:val="22"/>
        </w:rPr>
        <w:t>S‑EPCO‑D 超大城市乡村片区全周期落地模型</w:t>
      </w:r>
      <w:r>
        <w:rPr>
          <w:rFonts w:eastAsia="等线" w:ascii="Arial" w:cs="Arial" w:hAnsi="Arial"/>
          <w:sz w:val="22"/>
        </w:rPr>
        <w:t>，搭建理论趋势通向工程实践的桥梁。该模型由 S、EPCO、D 三部分构成：</w:t>
      </w:r>
    </w:p>
    <w:p>
      <w:pPr>
        <w:spacing w:before="120" w:after="120" w:line="288" w:lineRule="auto"/>
        <w:ind w:left="0"/>
        <w:jc w:val="left"/>
      </w:pPr>
      <w:r>
        <w:rPr>
          <w:rFonts w:eastAsia="等线" w:ascii="Arial" w:cs="Arial" w:hAnsi="Arial"/>
          <w:b w:val="true"/>
          <w:sz w:val="22"/>
        </w:rPr>
        <w:t>S（Strategic‑spatial）战略空间总策划</w:t>
      </w:r>
      <w:r>
        <w:rPr>
          <w:rFonts w:eastAsia="等线" w:ascii="Arial" w:cs="Arial" w:hAnsi="Arial"/>
          <w:sz w:val="22"/>
        </w:rPr>
        <w:t>：属于顶层策划环节，对应现代化、片区化、一体化顶层要求，坚持战略前置、规划前置、运营前置、收益前置，完成片区整体定位、空间统筹、机制设计。</w:t>
      </w:r>
    </w:p>
    <w:p>
      <w:pPr>
        <w:spacing w:before="120" w:after="120" w:line="288" w:lineRule="auto"/>
        <w:ind w:left="0"/>
        <w:jc w:val="left"/>
      </w:pPr>
      <w:r>
        <w:rPr>
          <w:rFonts w:eastAsia="等线" w:ascii="Arial" w:cs="Arial" w:hAnsi="Arial"/>
          <w:b w:val="true"/>
          <w:sz w:val="22"/>
        </w:rPr>
        <w:t>EPCO 工程运营一体化落地</w:t>
      </w:r>
      <w:r>
        <w:rPr>
          <w:rFonts w:eastAsia="等线" w:ascii="Arial" w:cs="Arial" w:hAnsi="Arial"/>
          <w:sz w:val="22"/>
        </w:rPr>
        <w:t>：包含 E（设计）、P（采购）、C（施工）、O（现场落地运营），采用联合体协同模式完成工程实施与现场运营落地，承接多元化、价值化、文化品牌化的落地诉求。</w:t>
      </w:r>
    </w:p>
    <w:p>
      <w:pPr>
        <w:spacing w:before="120" w:after="120" w:line="288" w:lineRule="auto"/>
        <w:ind w:left="0"/>
        <w:jc w:val="left"/>
      </w:pPr>
      <w:r>
        <w:rPr>
          <w:rFonts w:eastAsia="等线" w:ascii="Arial" w:cs="Arial" w:hAnsi="Arial"/>
          <w:b w:val="true"/>
          <w:sz w:val="22"/>
        </w:rPr>
        <w:t>D（Digital）全域数智赋能底座</w:t>
      </w:r>
      <w:r>
        <w:rPr>
          <w:rFonts w:eastAsia="等线" w:ascii="Arial" w:cs="Arial" w:hAnsi="Arial"/>
          <w:sz w:val="22"/>
        </w:rPr>
        <w:t>：作为贯穿策划、建设、运营全流程的数字神经网络，承载数智化新质生产力落地，覆盖数字基底建模、智慧农业、数字孪生片区、阳光村务、全周期运营监测。</w:t>
      </w:r>
    </w:p>
    <w:p>
      <w:pPr>
        <w:spacing w:before="120" w:after="120" w:line="288" w:lineRule="auto"/>
        <w:ind w:left="0"/>
        <w:jc w:val="left"/>
      </w:pPr>
      <w:r>
        <w:rPr>
          <w:rFonts w:eastAsia="等线" w:ascii="Arial" w:cs="Arial" w:hAnsi="Arial"/>
          <w:sz w:val="22"/>
        </w:rPr>
        <w:t>从业务实施边界看：实施主体核心聚焦</w:t>
      </w:r>
      <w:r>
        <w:rPr>
          <w:rFonts w:eastAsia="等线" w:ascii="Arial" w:cs="Arial" w:hAnsi="Arial"/>
          <w:b w:val="true"/>
          <w:sz w:val="22"/>
        </w:rPr>
        <w:t>S 顶层策划 + D 数智底座 + O 全周期统筹</w:t>
      </w:r>
      <w:r>
        <w:rPr>
          <w:rFonts w:eastAsia="等线" w:ascii="Arial" w:cs="Arial" w:hAnsi="Arial"/>
          <w:sz w:val="22"/>
        </w:rPr>
        <w:t>；EPC 工程实施环节交由外部工程联合体协同完成。模型内在逻辑概括为：</w:t>
      </w:r>
      <w:r>
        <w:rPr>
          <w:rFonts w:eastAsia="等线" w:ascii="Arial" w:cs="Arial" w:hAnsi="Arial"/>
          <w:b w:val="true"/>
          <w:sz w:val="22"/>
        </w:rPr>
        <w:t>策划前置定项目上限，工程落地保障建设品质，数智贯穿筑牢长期运行底线，运营闭环实现可持续发展</w:t>
      </w:r>
      <w:r>
        <w:rPr>
          <w:rFonts w:eastAsia="等线" w:ascii="Arial" w:cs="Arial" w:hAnsi="Arial"/>
          <w:sz w:val="22"/>
        </w:rPr>
        <w:t>。</w:t>
      </w:r>
    </w:p>
    <w:p>
      <w:pPr>
        <w:spacing w:before="120" w:after="120" w:line="288" w:lineRule="auto"/>
        <w:ind w:left="0"/>
        <w:jc w:val="left"/>
      </w:pPr>
      <w:r>
        <w:rPr>
          <w:rFonts w:eastAsia="等线" w:ascii="Arial" w:cs="Arial" w:hAnsi="Arial"/>
          <w:sz w:val="22"/>
        </w:rPr>
        <w:t>六大转型趋势与模型形成对应关系：现代化、片区化、一体化落脚于 S；多元化、文化品牌化、价值化落脚于 EPCO‑O；数智化贯穿 D 模块，实现理论框架与实践模型相互匹配。</w:t>
      </w:r>
    </w:p>
    <w:p>
      <w:pPr>
        <w:pStyle w:val="2"/>
        <w:spacing w:before="320" w:after="120" w:line="288" w:lineRule="auto"/>
        <w:ind w:left="0"/>
        <w:jc w:val="left"/>
        <w:outlineLvl w:val="1"/>
      </w:pPr>
      <w:bookmarkStart w:name="heading_35" w:id="35"/>
      <w:r>
        <w:rPr>
          <w:rFonts w:eastAsia="等线" w:ascii="Arial" w:cs="Arial" w:hAnsi="Arial"/>
          <w:b w:val="true"/>
          <w:sz w:val="32"/>
        </w:rPr>
        <w:t>四、上海乡村多功能现代化转型的内在机理</w:t>
      </w:r>
      <w:bookmarkEnd w:id="35"/>
    </w:p>
    <w:p>
      <w:pPr>
        <w:pStyle w:val="3"/>
        <w:spacing w:before="300" w:after="120" w:line="288" w:lineRule="auto"/>
        <w:ind w:left="0"/>
        <w:jc w:val="left"/>
        <w:outlineLvl w:val="2"/>
      </w:pPr>
      <w:bookmarkStart w:name="heading_36" w:id="36"/>
      <w:r>
        <w:rPr>
          <w:rFonts w:eastAsia="等线" w:ascii="Arial" w:cs="Arial" w:hAnsi="Arial"/>
          <w:b w:val="true"/>
          <w:sz w:val="30"/>
        </w:rPr>
        <w:t>4.1 顶层机理：城乡融合重塑超大城市乡村现代化内涵</w:t>
      </w:r>
      <w:bookmarkEnd w:id="36"/>
    </w:p>
    <w:p>
      <w:pPr>
        <w:spacing w:before="120" w:after="120" w:line="288" w:lineRule="auto"/>
        <w:ind w:left="0"/>
        <w:jc w:val="left"/>
      </w:pPr>
      <w:r>
        <w:rPr>
          <w:rFonts w:eastAsia="等线" w:ascii="Arial" w:cs="Arial" w:hAnsi="Arial"/>
          <w:sz w:val="22"/>
        </w:rPr>
        <w:t>全国多数地区农业农村现代化以 “乡村自我发展、农业产能提升” 为核心，而上海乡村现代化内嵌于城乡一体化格局</w:t>
      </w:r>
      <w:r>
        <w:rPr>
          <w:rFonts w:eastAsia="等线" w:ascii="Arial" w:cs="Arial" w:hAnsi="Arial"/>
          <w:sz w:val="22"/>
        </w:rPr>
      </w:r>
      <m:oMathPara>
        <m:oMathParaPr>
          <m:jc m:val="left"/>
        </m:oMathParaPr>
        <m:oMath xmlns:mml="http://www.w3.org/1998/Math/MathML">
          <m:r>
            <w:rPr>
              <w:rFonts w:ascii="Cambria Math" w:hAnsi="Cambria Math"/>
            </w:rPr>
            <m:t>2</m:t>
          </m:r>
        </m:oMath>
      </m:oMathPara>
      <w:r>
        <w:rPr>
          <w:rFonts w:eastAsia="等线" w:ascii="Arial" w:cs="Arial" w:hAnsi="Arial"/>
          <w:sz w:val="22"/>
        </w:rPr>
        <w:t>。城市庞大的消费需求、资本要素、数字资源持续外溢，要求乡村不再局限于农民生产生活，必须承担城市公共服务功能；同时土地紧约束、耕地红线刚性约束，倒逼乡村无法走规模化单一农业扩张道路，</w:t>
      </w:r>
      <w:r>
        <w:rPr>
          <w:rFonts w:eastAsia="等线" w:ascii="Arial" w:cs="Arial" w:hAnsi="Arial"/>
          <w:b w:val="true"/>
          <w:sz w:val="22"/>
        </w:rPr>
        <w:t>城乡融合最终决定了上海必须走多功能复合现代化路径</w:t>
      </w:r>
      <w:r>
        <w:rPr>
          <w:rFonts w:eastAsia="等线" w:ascii="Arial" w:cs="Arial" w:hAnsi="Arial"/>
          <w:sz w:val="22"/>
        </w:rPr>
      </w:r>
      <m:oMathPara>
        <m:oMathParaPr>
          <m:jc m:val="left"/>
        </m:oMathParaPr>
        <m:oMath xmlns:mml="http://www.w3.org/1998/Math/MathML">
          <m:r>
            <w:rPr>
              <w:rFonts w:ascii="Cambria Math" w:hAnsi="Cambria Math"/>
            </w:rPr>
            <m:t>5</m:t>
          </m:r>
        </m:oMath>
      </m:oMathPara>
      <w:r>
        <w:rPr>
          <w:rFonts w:eastAsia="等线" w:ascii="Arial" w:cs="Arial" w:hAnsi="Arial"/>
          <w:sz w:val="22"/>
        </w:rPr>
        <w:t>。</w:t>
      </w:r>
    </w:p>
    <w:p>
      <w:pPr>
        <w:pStyle w:val="3"/>
        <w:spacing w:before="300" w:after="120" w:line="288" w:lineRule="auto"/>
        <w:ind w:left="0"/>
        <w:jc w:val="left"/>
        <w:outlineLvl w:val="2"/>
      </w:pPr>
      <w:bookmarkStart w:name="heading_37" w:id="37"/>
      <w:r>
        <w:rPr>
          <w:rFonts w:eastAsia="等线" w:ascii="Arial" w:cs="Arial" w:hAnsi="Arial"/>
          <w:b w:val="true"/>
          <w:sz w:val="30"/>
        </w:rPr>
        <w:t>4.2 空间机理：单村单元失效倒逼片区化尺度升级</w:t>
      </w:r>
      <w:bookmarkEnd w:id="37"/>
    </w:p>
    <w:p>
      <w:pPr>
        <w:spacing w:before="120" w:after="120" w:line="288" w:lineRule="auto"/>
        <w:ind w:left="0"/>
        <w:jc w:val="left"/>
      </w:pPr>
      <w:r>
        <w:rPr>
          <w:rFonts w:eastAsia="等线" w:ascii="Arial" w:cs="Arial" w:hAnsi="Arial"/>
          <w:sz w:val="22"/>
        </w:rPr>
        <w:t>基于乡村地域系统理论，生态治理、水系整治、郊野游憩、产业布局均为跨村域系统工程</w:t>
      </w:r>
      <w:r>
        <w:rPr>
          <w:rFonts w:eastAsia="等线" w:ascii="Arial" w:cs="Arial" w:hAnsi="Arial"/>
          <w:sz w:val="22"/>
        </w:rPr>
      </w:r>
      <m:oMathPara>
        <m:oMathParaPr>
          <m:jc m:val="left"/>
        </m:oMathParaPr>
        <m:oMath xmlns:mml="http://www.w3.org/1998/Math/MathML">
          <m:r>
            <w:rPr>
              <w:rFonts w:ascii="Cambria Math" w:hAnsi="Cambria Math"/>
            </w:rPr>
            <m:t>1</m:t>
          </m:r>
        </m:oMath>
      </m:oMathPara>
      <w:r>
        <w:rPr>
          <w:rFonts w:eastAsia="等线" w:ascii="Arial" w:cs="Arial" w:hAnsi="Arial"/>
          <w:sz w:val="22"/>
        </w:rPr>
        <w:t>。单村空间规模小、功能冲突明显、设施建设不经济、无法承接大型项目与城市客流。</w:t>
      </w:r>
      <w:r>
        <w:rPr>
          <w:rFonts w:eastAsia="等线" w:ascii="Arial" w:cs="Arial" w:hAnsi="Arial"/>
          <w:b w:val="true"/>
          <w:sz w:val="22"/>
        </w:rPr>
        <w:t>多功能复合发展，必须依托片区化实现空间整合、功能分工、资源统筹、设施共享</w:t>
      </w:r>
      <w:r>
        <w:rPr>
          <w:rFonts w:eastAsia="等线" w:ascii="Arial" w:cs="Arial" w:hAnsi="Arial"/>
          <w:sz w:val="22"/>
        </w:rPr>
        <w:t>，片区化是超大城市乡村多功能现代化的必然空间选择</w:t>
      </w:r>
      <w:r>
        <w:rPr>
          <w:rFonts w:eastAsia="等线" w:ascii="Arial" w:cs="Arial" w:hAnsi="Arial"/>
          <w:sz w:val="22"/>
        </w:rPr>
      </w:r>
      <m:oMathPara>
        <m:oMathParaPr>
          <m:jc m:val="left"/>
        </m:oMathParaPr>
        <m:oMath xmlns:mml="http://www.w3.org/1998/Math/MathML">
          <m:r>
            <w:rPr>
              <w:rFonts w:ascii="Cambria Math" w:hAnsi="Cambria Math"/>
            </w:rPr>
            <m:t>9</m:t>
          </m:r>
        </m:oMath>
      </m:oMathPara>
      <w:r>
        <w:rPr>
          <w:rFonts w:eastAsia="等线" w:ascii="Arial" w:cs="Arial" w:hAnsi="Arial"/>
          <w:sz w:val="22"/>
        </w:rPr>
        <w:t>。</w:t>
      </w:r>
    </w:p>
    <w:p>
      <w:pPr>
        <w:pStyle w:val="3"/>
        <w:spacing w:before="300" w:after="120" w:line="288" w:lineRule="auto"/>
        <w:ind w:left="0"/>
        <w:jc w:val="left"/>
        <w:outlineLvl w:val="2"/>
      </w:pPr>
      <w:bookmarkStart w:name="heading_38" w:id="38"/>
      <w:r>
        <w:rPr>
          <w:rFonts w:eastAsia="等线" w:ascii="Arial" w:cs="Arial" w:hAnsi="Arial"/>
          <w:b w:val="true"/>
          <w:sz w:val="30"/>
        </w:rPr>
        <w:t>4.3 功能机理：政策目标赋予乡村复合价值使命</w:t>
      </w:r>
      <w:bookmarkEnd w:id="38"/>
    </w:p>
    <w:p>
      <w:pPr>
        <w:spacing w:before="120" w:after="120" w:line="288" w:lineRule="auto"/>
        <w:ind w:left="0"/>
        <w:jc w:val="left"/>
      </w:pPr>
      <w:r>
        <w:rPr>
          <w:rFonts w:eastAsia="等线" w:ascii="Arial" w:cs="Arial" w:hAnsi="Arial"/>
          <w:sz w:val="22"/>
        </w:rPr>
        <w:t>上海政策明确建设优质乡村生活空间，同时要求乡村承担保供、生态、文化、空间承载四大核心功能</w:t>
      </w:r>
      <w:r>
        <w:rPr>
          <w:rFonts w:eastAsia="等线" w:ascii="Arial" w:cs="Arial" w:hAnsi="Arial"/>
          <w:sz w:val="22"/>
        </w:rPr>
      </w:r>
      <m:oMathPara>
        <m:oMathParaPr>
          <m:jc m:val="left"/>
        </m:oMathParaPr>
        <m:oMath xmlns:mml="http://www.w3.org/1998/Math/MathML">
          <m:r>
            <w:rPr>
              <w:rFonts w:ascii="Cambria Math" w:hAnsi="Cambria Math"/>
            </w:rPr>
            <m:t>7,16</m:t>
          </m:r>
          <m:r>
            <w:rPr>
              <w:rFonts w:ascii="Cambria Math" w:hAnsi="Cambria Math"/>
            </w:rPr>
            <m:t>‑</m:t>
          </m:r>
          <m:r>
            <w:rPr>
              <w:rFonts w:ascii="Cambria Math" w:hAnsi="Cambria Math"/>
            </w:rPr>
            <m:t>17</m:t>
          </m:r>
        </m:oMath>
      </m:oMathPara>
      <w:r>
        <w:rPr>
          <w:rFonts w:eastAsia="等线" w:ascii="Arial" w:cs="Arial" w:hAnsi="Arial"/>
          <w:sz w:val="22"/>
        </w:rPr>
        <w:t>。政策文本虽未直接使用 “多功能乡村” 学术概念，但完整内嵌多功能发展逻辑，要求乡村兼顾农业现代化保供底线与乡村现代化公共服务功能，形成区别于全国的复合功能发展使命。</w:t>
      </w:r>
    </w:p>
    <w:p>
      <w:pPr>
        <w:pStyle w:val="3"/>
        <w:spacing w:before="300" w:after="120" w:line="288" w:lineRule="auto"/>
        <w:ind w:left="0"/>
        <w:jc w:val="left"/>
        <w:outlineLvl w:val="2"/>
      </w:pPr>
      <w:bookmarkStart w:name="heading_39" w:id="39"/>
      <w:r>
        <w:rPr>
          <w:rFonts w:eastAsia="等线" w:ascii="Arial" w:cs="Arial" w:hAnsi="Arial"/>
          <w:b w:val="true"/>
          <w:sz w:val="30"/>
        </w:rPr>
        <w:t>4.4 运行机理：六大趋势‑S‑EPCO‑D 模型形成完整现代化闭环体系</w:t>
      </w:r>
      <w:bookmarkEnd w:id="39"/>
    </w:p>
    <w:p>
      <w:pPr>
        <w:spacing w:before="120" w:after="120" w:line="288" w:lineRule="auto"/>
        <w:ind w:left="0"/>
        <w:jc w:val="left"/>
      </w:pPr>
      <w:r>
        <w:rPr>
          <w:rFonts w:eastAsia="等线" w:ascii="Arial" w:cs="Arial" w:hAnsi="Arial"/>
          <w:sz w:val="22"/>
        </w:rPr>
        <w:t>片区化解决</w:t>
      </w:r>
      <w:r>
        <w:rPr>
          <w:rFonts w:eastAsia="等线" w:ascii="Arial" w:cs="Arial" w:hAnsi="Arial"/>
          <w:b w:val="true"/>
          <w:sz w:val="22"/>
        </w:rPr>
        <w:t>空间载体问题</w:t>
      </w:r>
      <w:r>
        <w:rPr>
          <w:rFonts w:eastAsia="等线" w:ascii="Arial" w:cs="Arial" w:hAnsi="Arial"/>
          <w:sz w:val="22"/>
        </w:rPr>
        <w:t>，一体化解决</w:t>
      </w:r>
      <w:r>
        <w:rPr>
          <w:rFonts w:eastAsia="等线" w:ascii="Arial" w:cs="Arial" w:hAnsi="Arial"/>
          <w:b w:val="true"/>
          <w:sz w:val="22"/>
        </w:rPr>
        <w:t>制度机制问题</w:t>
      </w:r>
      <w:r>
        <w:rPr>
          <w:rFonts w:eastAsia="等线" w:ascii="Arial" w:cs="Arial" w:hAnsi="Arial"/>
          <w:sz w:val="22"/>
        </w:rPr>
        <w:t>，文化品牌化解决</w:t>
      </w:r>
      <w:r>
        <w:rPr>
          <w:rFonts w:eastAsia="等线" w:ascii="Arial" w:cs="Arial" w:hAnsi="Arial"/>
          <w:b w:val="true"/>
          <w:sz w:val="22"/>
        </w:rPr>
        <w:t>文化产品问题</w:t>
      </w:r>
      <w:r>
        <w:rPr>
          <w:rFonts w:eastAsia="等线" w:ascii="Arial" w:cs="Arial" w:hAnsi="Arial"/>
          <w:sz w:val="22"/>
        </w:rPr>
        <w:t>，数智化解决</w:t>
      </w:r>
      <w:r>
        <w:rPr>
          <w:rFonts w:eastAsia="等线" w:ascii="Arial" w:cs="Arial" w:hAnsi="Arial"/>
          <w:b w:val="true"/>
          <w:sz w:val="22"/>
        </w:rPr>
        <w:t>技术赋能问题</w:t>
      </w:r>
      <w:r>
        <w:rPr>
          <w:rFonts w:eastAsia="等线" w:ascii="Arial" w:cs="Arial" w:hAnsi="Arial"/>
          <w:sz w:val="22"/>
        </w:rPr>
        <w:t>，价值化解决</w:t>
      </w:r>
      <w:r>
        <w:rPr>
          <w:rFonts w:eastAsia="等线" w:ascii="Arial" w:cs="Arial" w:hAnsi="Arial"/>
          <w:b w:val="true"/>
          <w:sz w:val="22"/>
        </w:rPr>
        <w:t>经济造血问题</w:t>
      </w:r>
      <w:r>
        <w:rPr>
          <w:rFonts w:eastAsia="等线" w:ascii="Arial" w:cs="Arial" w:hAnsi="Arial"/>
          <w:sz w:val="22"/>
        </w:rPr>
        <w:t>，多元化解决</w:t>
      </w:r>
      <w:r>
        <w:rPr>
          <w:rFonts w:eastAsia="等线" w:ascii="Arial" w:cs="Arial" w:hAnsi="Arial"/>
          <w:b w:val="true"/>
          <w:sz w:val="22"/>
        </w:rPr>
        <w:t>功能业态与主体问题</w:t>
      </w:r>
      <w:r>
        <w:rPr>
          <w:rFonts w:eastAsia="等线" w:ascii="Arial" w:cs="Arial" w:hAnsi="Arial"/>
          <w:sz w:val="22"/>
        </w:rPr>
        <w:t>；六大趋势通过 S‑EPCO‑D 模型完成从理念到落地的转化，环环递进、相互支撑，共同构成上海超大城市农业农村现代化的完整运行体系。</w:t>
      </w:r>
    </w:p>
    <w:p>
      <w:pPr>
        <w:pStyle w:val="3"/>
        <w:spacing w:before="300" w:after="120" w:line="288" w:lineRule="auto"/>
        <w:ind w:left="0"/>
        <w:jc w:val="left"/>
        <w:outlineLvl w:val="2"/>
      </w:pPr>
      <w:bookmarkStart w:name="heading_40" w:id="40"/>
      <w:r>
        <w:rPr>
          <w:rFonts w:eastAsia="等线" w:ascii="Arial" w:cs="Arial" w:hAnsi="Arial"/>
          <w:b w:val="true"/>
          <w:sz w:val="30"/>
        </w:rPr>
        <w:t>4.5 中外路径差异机理</w:t>
      </w:r>
      <w:bookmarkEnd w:id="40"/>
    </w:p>
    <w:p>
      <w:pPr>
        <w:spacing w:before="120" w:after="120" w:line="288" w:lineRule="auto"/>
        <w:ind w:left="0"/>
        <w:jc w:val="left"/>
      </w:pPr>
      <w:r>
        <w:rPr>
          <w:rFonts w:eastAsia="等线" w:ascii="Arial" w:cs="Arial" w:hAnsi="Arial"/>
          <w:sz w:val="22"/>
        </w:rPr>
        <w:t>西方多功能乡村为</w:t>
      </w:r>
      <w:r>
        <w:rPr>
          <w:rFonts w:eastAsia="等线" w:ascii="Arial" w:cs="Arial" w:hAnsi="Arial"/>
          <w:b w:val="true"/>
          <w:sz w:val="22"/>
        </w:rPr>
        <w:t>市场自下而上自发演化</w:t>
      </w:r>
      <w:r>
        <w:rPr>
          <w:rFonts w:eastAsia="等线" w:ascii="Arial" w:cs="Arial" w:hAnsi="Arial"/>
          <w:sz w:val="22"/>
        </w:rPr>
        <w:t>，依托私有土地、自由市场实现功能迭代</w:t>
      </w:r>
      <w:r>
        <w:rPr>
          <w:rFonts w:eastAsia="等线" w:ascii="Arial" w:cs="Arial" w:hAnsi="Arial"/>
          <w:sz w:val="22"/>
        </w:rPr>
      </w:r>
      <m:oMathPara>
        <m:oMathParaPr>
          <m:jc m:val="left"/>
        </m:oMathParaPr>
        <m:oMath xmlns:mml="http://www.w3.org/1998/Math/MathML">
          <m:r>
            <w:rPr>
              <w:rFonts w:ascii="Cambria Math" w:hAnsi="Cambria Math"/>
            </w:rPr>
            <m:t>14</m:t>
          </m:r>
          <m:r>
            <w:rPr>
              <w:rFonts w:ascii="Cambria Math" w:hAnsi="Cambria Math"/>
            </w:rPr>
            <m:t>‑</m:t>
          </m:r>
          <m:r>
            <w:rPr>
              <w:rFonts w:ascii="Cambria Math" w:hAnsi="Cambria Math"/>
            </w:rPr>
            <m:t>15</m:t>
          </m:r>
        </m:oMath>
      </m:oMathPara>
      <w:r>
        <w:rPr>
          <w:rFonts w:eastAsia="等线" w:ascii="Arial" w:cs="Arial" w:hAnsi="Arial"/>
          <w:sz w:val="22"/>
        </w:rPr>
        <w:t>；上海多功能乡村为</w:t>
      </w:r>
      <w:r>
        <w:rPr>
          <w:rFonts w:eastAsia="等线" w:ascii="Arial" w:cs="Arial" w:hAnsi="Arial"/>
          <w:b w:val="true"/>
          <w:sz w:val="22"/>
        </w:rPr>
        <w:t>政策引领、城乡驱动、集体筑基、系统运营</w:t>
      </w:r>
      <w:r>
        <w:rPr>
          <w:rFonts w:eastAsia="等线" w:ascii="Arial" w:cs="Arial" w:hAnsi="Arial"/>
          <w:sz w:val="22"/>
        </w:rPr>
        <w:t>的中国式路径，政府统筹空间布局、制度机制与公共产品供给，集体经济主导资源整合，社会资本参与市场化运营，形成独具中国超大城市特色的现代化模式</w:t>
      </w:r>
      <w:r>
        <w:rPr>
          <w:rFonts w:eastAsia="等线" w:ascii="Arial" w:cs="Arial" w:hAnsi="Arial"/>
          <w:sz w:val="22"/>
        </w:rPr>
      </w:r>
      <m:oMathPara>
        <m:oMathParaPr>
          <m:jc m:val="left"/>
        </m:oMathParaPr>
        <m:oMath xmlns:mml="http://www.w3.org/1998/Math/MathML">
          <m:r>
            <w:rPr>
              <w:rFonts w:ascii="Cambria Math" w:hAnsi="Cambria Math"/>
            </w:rPr>
            <m:t>11</m:t>
          </m:r>
        </m:oMath>
      </m:oMathPara>
      <w:r>
        <w:rPr>
          <w:rFonts w:eastAsia="等线" w:ascii="Arial" w:cs="Arial" w:hAnsi="Arial"/>
          <w:sz w:val="22"/>
        </w:rPr>
        <w:t>。</w:t>
      </w:r>
    </w:p>
    <w:p>
      <w:pPr>
        <w:pStyle w:val="2"/>
        <w:spacing w:before="320" w:after="120" w:line="288" w:lineRule="auto"/>
        <w:ind w:left="0"/>
        <w:jc w:val="left"/>
        <w:outlineLvl w:val="1"/>
      </w:pPr>
      <w:bookmarkStart w:name="heading_41" w:id="41"/>
      <w:r>
        <w:rPr>
          <w:rFonts w:eastAsia="等线" w:ascii="Arial" w:cs="Arial" w:hAnsi="Arial"/>
          <w:b w:val="true"/>
          <w:sz w:val="32"/>
        </w:rPr>
        <w:t>五、上海乡村现代化转型存在的现实问题</w:t>
      </w:r>
      <w:bookmarkEnd w:id="41"/>
    </w:p>
    <w:p>
      <w:pPr>
        <w:pStyle w:val="3"/>
        <w:spacing w:before="300" w:after="120" w:line="288" w:lineRule="auto"/>
        <w:ind w:left="0"/>
        <w:jc w:val="left"/>
        <w:outlineLvl w:val="2"/>
      </w:pPr>
      <w:bookmarkStart w:name="heading_42" w:id="42"/>
      <w:r>
        <w:rPr>
          <w:rFonts w:eastAsia="等线" w:ascii="Arial" w:cs="Arial" w:hAnsi="Arial"/>
          <w:b w:val="true"/>
          <w:sz w:val="30"/>
        </w:rPr>
        <w:t>5.1 片区化统筹深度不足，存在形式连片、实质割裂问题</w:t>
      </w:r>
      <w:bookmarkEnd w:id="42"/>
    </w:p>
    <w:p>
      <w:pPr>
        <w:spacing w:before="120" w:after="120" w:line="288" w:lineRule="auto"/>
        <w:ind w:left="0"/>
        <w:jc w:val="left"/>
      </w:pPr>
      <w:r>
        <w:rPr>
          <w:rFonts w:eastAsia="等线" w:ascii="Arial" w:cs="Arial" w:hAnsi="Arial"/>
          <w:sz w:val="22"/>
        </w:rPr>
        <w:t>部分片区仅实现空间范围连片，未真正完成资源整合、功能分工与利益统筹，村际同质化竞争依然存在，片区规模效应、协同效应未能充分释放</w:t>
      </w:r>
      <w:r>
        <w:rPr>
          <w:rFonts w:eastAsia="等线" w:ascii="Arial" w:cs="Arial" w:hAnsi="Arial"/>
          <w:sz w:val="22"/>
        </w:rPr>
      </w:r>
      <m:oMathPara>
        <m:oMathParaPr>
          <m:jc m:val="left"/>
        </m:oMathParaPr>
        <m:oMath xmlns:mml="http://www.w3.org/1998/Math/MathML">
          <m:r>
            <w:rPr>
              <w:rFonts w:ascii="Cambria Math" w:hAnsi="Cambria Math"/>
            </w:rPr>
            <m:t>9</m:t>
          </m:r>
        </m:oMath>
      </m:oMathPara>
      <w:r>
        <w:rPr>
          <w:rFonts w:eastAsia="等线" w:ascii="Arial" w:cs="Arial" w:hAnsi="Arial"/>
          <w:sz w:val="22"/>
        </w:rPr>
        <w:t>。</w:t>
      </w:r>
    </w:p>
    <w:p>
      <w:pPr>
        <w:pStyle w:val="3"/>
        <w:spacing w:before="300" w:after="120" w:line="288" w:lineRule="auto"/>
        <w:ind w:left="0"/>
        <w:jc w:val="left"/>
        <w:outlineLvl w:val="2"/>
      </w:pPr>
      <w:bookmarkStart w:name="heading_43" w:id="43"/>
      <w:r>
        <w:rPr>
          <w:rFonts w:eastAsia="等线" w:ascii="Arial" w:cs="Arial" w:hAnsi="Arial"/>
          <w:b w:val="true"/>
          <w:sz w:val="30"/>
        </w:rPr>
        <w:t>5.2 一体化管护成本偏高，长效可持续压力较大</w:t>
      </w:r>
      <w:bookmarkEnd w:id="43"/>
    </w:p>
    <w:p>
      <w:pPr>
        <w:spacing w:before="120" w:after="120" w:line="288" w:lineRule="auto"/>
        <w:ind w:left="0"/>
        <w:jc w:val="left"/>
      </w:pPr>
      <w:r>
        <w:rPr>
          <w:rFonts w:eastAsia="等线" w:ascii="Arial" w:cs="Arial" w:hAnsi="Arial"/>
          <w:sz w:val="22"/>
        </w:rPr>
        <w:t>三师联创、一体化综合管护提升了乡村品质，但专业化运维成本较高，过度依赖财政投入，市场化运维机制不完善，长期可持续运营面临压力。</w:t>
      </w:r>
    </w:p>
    <w:p>
      <w:pPr>
        <w:pStyle w:val="3"/>
        <w:spacing w:before="300" w:after="120" w:line="288" w:lineRule="auto"/>
        <w:ind w:left="0"/>
        <w:jc w:val="left"/>
        <w:outlineLvl w:val="2"/>
      </w:pPr>
      <w:bookmarkStart w:name="heading_44" w:id="44"/>
      <w:r>
        <w:rPr>
          <w:rFonts w:eastAsia="等线" w:ascii="Arial" w:cs="Arial" w:hAnsi="Arial"/>
          <w:b w:val="true"/>
          <w:sz w:val="30"/>
        </w:rPr>
        <w:t>5.3 乡村文化品牌辨识度不足，存在浅层商业化现象</w:t>
      </w:r>
      <w:bookmarkEnd w:id="44"/>
    </w:p>
    <w:p>
      <w:pPr>
        <w:spacing w:before="120" w:after="120" w:line="288" w:lineRule="auto"/>
        <w:ind w:left="0"/>
        <w:jc w:val="left"/>
      </w:pPr>
      <w:r>
        <w:rPr>
          <w:rFonts w:eastAsia="等线" w:ascii="Arial" w:cs="Arial" w:hAnsi="Arial"/>
          <w:sz w:val="22"/>
        </w:rPr>
        <w:t>部分乡村文化资源挖掘不深、脱离本土乡土基底，同质化打造、浅层商业化问题突出，有流量无留存、有景观无内涵，文化价值转化效率不高。</w:t>
      </w:r>
    </w:p>
    <w:p>
      <w:pPr>
        <w:pStyle w:val="3"/>
        <w:spacing w:before="300" w:after="120" w:line="288" w:lineRule="auto"/>
        <w:ind w:left="0"/>
        <w:jc w:val="left"/>
        <w:outlineLvl w:val="2"/>
      </w:pPr>
      <w:bookmarkStart w:name="heading_45" w:id="45"/>
      <w:r>
        <w:rPr>
          <w:rFonts w:eastAsia="等线" w:ascii="Arial" w:cs="Arial" w:hAnsi="Arial"/>
          <w:b w:val="true"/>
          <w:sz w:val="30"/>
        </w:rPr>
        <w:t>5.4 数智化落地不均衡，技术赋能存在表层化</w:t>
      </w:r>
      <w:bookmarkEnd w:id="45"/>
    </w:p>
    <w:p>
      <w:pPr>
        <w:spacing w:before="120" w:after="120" w:line="288" w:lineRule="auto"/>
        <w:ind w:left="0"/>
        <w:jc w:val="left"/>
      </w:pPr>
      <w:r>
        <w:rPr>
          <w:rFonts w:eastAsia="等线" w:ascii="Arial" w:cs="Arial" w:hAnsi="Arial"/>
          <w:sz w:val="22"/>
        </w:rPr>
        <w:t>数字乡村建设重平台搭建、轻场景落地，部分数字系统与乡村实际运营、基层治理需求脱节，数据打通不足、使用率偏低，技术赋能价值未充分释放。</w:t>
      </w:r>
    </w:p>
    <w:p>
      <w:pPr>
        <w:pStyle w:val="3"/>
        <w:spacing w:before="300" w:after="120" w:line="288" w:lineRule="auto"/>
        <w:ind w:left="0"/>
        <w:jc w:val="left"/>
        <w:outlineLvl w:val="2"/>
      </w:pPr>
      <w:bookmarkStart w:name="heading_46" w:id="46"/>
      <w:r>
        <w:rPr>
          <w:rFonts w:eastAsia="等线" w:ascii="Arial" w:cs="Arial" w:hAnsi="Arial"/>
          <w:b w:val="true"/>
          <w:sz w:val="30"/>
        </w:rPr>
        <w:t>5.5 资源价值转化机制不完善，内生造血能力偏弱</w:t>
      </w:r>
      <w:bookmarkEnd w:id="46"/>
    </w:p>
    <w:p>
      <w:pPr>
        <w:spacing w:before="120" w:after="120" w:line="288" w:lineRule="auto"/>
        <w:ind w:left="0"/>
        <w:jc w:val="left"/>
      </w:pPr>
      <w:r>
        <w:rPr>
          <w:rFonts w:eastAsia="等线" w:ascii="Arial" w:cs="Arial" w:hAnsi="Arial"/>
          <w:sz w:val="22"/>
        </w:rPr>
        <w:t>部分生态、文化、闲置资源盘活渠道单一，三产融合层次较浅，资源 — 资产 — 资本转化链条不完整，集体经济增收、村民共享的长效机制仍需完善</w:t>
      </w:r>
      <w:r>
        <w:rPr>
          <w:rFonts w:eastAsia="等线" w:ascii="Arial" w:cs="Arial" w:hAnsi="Arial"/>
          <w:sz w:val="22"/>
        </w:rPr>
      </w:r>
      <m:oMathPara>
        <m:oMathParaPr>
          <m:jc m:val="left"/>
        </m:oMathParaPr>
        <m:oMath xmlns:mml="http://www.w3.org/1998/Math/MathML">
          <m:r>
            <w:rPr>
              <w:rFonts w:ascii="Cambria Math" w:hAnsi="Cambria Math"/>
            </w:rPr>
            <m:t>13</m:t>
          </m:r>
        </m:oMath>
      </m:oMathPara>
      <w:r>
        <w:rPr>
          <w:rFonts w:eastAsia="等线" w:ascii="Arial" w:cs="Arial" w:hAnsi="Arial"/>
          <w:sz w:val="22"/>
        </w:rPr>
        <w:t>。</w:t>
      </w:r>
    </w:p>
    <w:p>
      <w:pPr>
        <w:pStyle w:val="3"/>
        <w:spacing w:before="300" w:after="120" w:line="288" w:lineRule="auto"/>
        <w:ind w:left="0"/>
        <w:jc w:val="left"/>
        <w:outlineLvl w:val="2"/>
      </w:pPr>
      <w:bookmarkStart w:name="heading_47" w:id="47"/>
      <w:r>
        <w:rPr>
          <w:rFonts w:eastAsia="等线" w:ascii="Arial" w:cs="Arial" w:hAnsi="Arial"/>
          <w:b w:val="true"/>
          <w:sz w:val="30"/>
        </w:rPr>
        <w:t>5.6 多元主体协同机制不健全，利益联结有待深化</w:t>
      </w:r>
      <w:bookmarkEnd w:id="47"/>
    </w:p>
    <w:p>
      <w:pPr>
        <w:spacing w:before="120" w:after="120" w:line="288" w:lineRule="auto"/>
        <w:ind w:left="0"/>
        <w:jc w:val="left"/>
      </w:pPr>
      <w:r>
        <w:rPr>
          <w:rFonts w:eastAsia="等线" w:ascii="Arial" w:cs="Arial" w:hAnsi="Arial"/>
          <w:sz w:val="22"/>
        </w:rPr>
        <w:t>社会资本、村集体、村民的分工协作、利益共享、风险共担机制不完善，存在资本逐利性过强、村民参与不足、收益分配不均等潜在问题</w:t>
      </w:r>
      <w:r>
        <w:rPr>
          <w:rFonts w:eastAsia="等线" w:ascii="Arial" w:cs="Arial" w:hAnsi="Arial"/>
          <w:sz w:val="22"/>
        </w:rPr>
      </w:r>
      <m:oMathPara>
        <m:oMathParaPr>
          <m:jc m:val="left"/>
        </m:oMathParaPr>
        <m:oMath xmlns:mml="http://www.w3.org/1998/Math/MathML">
          <m:r>
            <w:rPr>
              <w:rFonts w:ascii="Cambria Math" w:hAnsi="Cambria Math"/>
            </w:rPr>
            <m:t>8</m:t>
          </m:r>
        </m:oMath>
      </m:oMathPara>
      <w:r>
        <w:rPr>
          <w:rFonts w:eastAsia="等线" w:ascii="Arial" w:cs="Arial" w:hAnsi="Arial"/>
          <w:sz w:val="22"/>
        </w:rPr>
        <w:t>。</w:t>
      </w:r>
    </w:p>
    <w:p>
      <w:pPr>
        <w:pStyle w:val="2"/>
        <w:spacing w:before="320" w:after="120" w:line="288" w:lineRule="auto"/>
        <w:ind w:left="0"/>
        <w:jc w:val="left"/>
        <w:outlineLvl w:val="1"/>
      </w:pPr>
      <w:bookmarkStart w:name="heading_48" w:id="48"/>
      <w:r>
        <w:rPr>
          <w:rFonts w:eastAsia="等线" w:ascii="Arial" w:cs="Arial" w:hAnsi="Arial"/>
          <w:b w:val="true"/>
          <w:sz w:val="32"/>
        </w:rPr>
        <w:t>六、超大城市农业农村现代化优化路径</w:t>
      </w:r>
      <w:bookmarkEnd w:id="48"/>
    </w:p>
    <w:p>
      <w:pPr>
        <w:pStyle w:val="3"/>
        <w:spacing w:before="300" w:after="120" w:line="288" w:lineRule="auto"/>
        <w:ind w:left="0"/>
        <w:jc w:val="left"/>
        <w:outlineLvl w:val="2"/>
      </w:pPr>
      <w:bookmarkStart w:name="heading_49" w:id="49"/>
      <w:r>
        <w:rPr>
          <w:rFonts w:eastAsia="等线" w:ascii="Arial" w:cs="Arial" w:hAnsi="Arial"/>
          <w:b w:val="true"/>
          <w:sz w:val="30"/>
        </w:rPr>
        <w:t>6.1 深化片区化统筹，构建差异化功能分工体系</w:t>
      </w:r>
      <w:bookmarkEnd w:id="49"/>
    </w:p>
    <w:p>
      <w:pPr>
        <w:spacing w:before="120" w:after="120" w:line="288" w:lineRule="auto"/>
        <w:ind w:left="0"/>
        <w:jc w:val="left"/>
      </w:pPr>
      <w:r>
        <w:rPr>
          <w:rFonts w:eastAsia="等线" w:ascii="Arial" w:cs="Arial" w:hAnsi="Arial"/>
          <w:sz w:val="22"/>
        </w:rPr>
        <w:t>强化片区层面统一规划、资源整合、产业统筹与利益统筹，推动片区内部各村差异化定位，实现农业保供、生态涵养、文旅体验、居住生活功能合理分区，真正实现从 “空间连片” 走向 “功能联片、产业联片、利益联片”</w:t>
      </w:r>
      <w:r>
        <w:rPr>
          <w:rFonts w:eastAsia="等线" w:ascii="Arial" w:cs="Arial" w:hAnsi="Arial"/>
          <w:sz w:val="22"/>
        </w:rPr>
      </w:r>
      <m:oMathPara>
        <m:oMathParaPr>
          <m:jc m:val="left"/>
        </m:oMathParaPr>
        <m:oMath xmlns:mml="http://www.w3.org/1998/Math/MathML">
          <m:r>
            <w:rPr>
              <w:rFonts w:ascii="Cambria Math" w:hAnsi="Cambria Math"/>
            </w:rPr>
            <m:t>9</m:t>
          </m:r>
        </m:oMath>
      </m:oMathPara>
      <w:r>
        <w:rPr>
          <w:rFonts w:eastAsia="等线" w:ascii="Arial" w:cs="Arial" w:hAnsi="Arial"/>
          <w:sz w:val="22"/>
        </w:rPr>
        <w:t>。</w:t>
      </w:r>
    </w:p>
    <w:p>
      <w:pPr>
        <w:pStyle w:val="3"/>
        <w:spacing w:before="300" w:after="120" w:line="288" w:lineRule="auto"/>
        <w:ind w:left="0"/>
        <w:jc w:val="left"/>
        <w:outlineLvl w:val="2"/>
      </w:pPr>
      <w:bookmarkStart w:name="heading_50" w:id="50"/>
      <w:r>
        <w:rPr>
          <w:rFonts w:eastAsia="等线" w:ascii="Arial" w:cs="Arial" w:hAnsi="Arial"/>
          <w:b w:val="true"/>
          <w:sz w:val="30"/>
        </w:rPr>
        <w:t>6.2 完善一体化运维体系，构建财政 + 市场双轨机制</w:t>
      </w:r>
      <w:bookmarkEnd w:id="50"/>
    </w:p>
    <w:p>
      <w:pPr>
        <w:spacing w:before="120" w:after="120" w:line="288" w:lineRule="auto"/>
        <w:ind w:left="0"/>
        <w:jc w:val="left"/>
      </w:pPr>
      <w:r>
        <w:rPr>
          <w:rFonts w:eastAsia="等线" w:ascii="Arial" w:cs="Arial" w:hAnsi="Arial"/>
          <w:sz w:val="22"/>
        </w:rPr>
        <w:t>优化三师联创全流程工作机制，细化管护标准、管护清单与考核体系。引入市场化专业运维主体，降低财政依赖，构建 “政府保底、市场增效、集体参与” 的长效管护运营机制。依托 S‑EPCO‑D 模型的 O 端全周期统筹，将管护要求前置到片区策划阶段。</w:t>
      </w:r>
    </w:p>
    <w:p>
      <w:pPr>
        <w:pStyle w:val="3"/>
        <w:spacing w:before="300" w:after="120" w:line="288" w:lineRule="auto"/>
        <w:ind w:left="0"/>
        <w:jc w:val="left"/>
        <w:outlineLvl w:val="2"/>
      </w:pPr>
      <w:bookmarkStart w:name="heading_51" w:id="51"/>
      <w:r>
        <w:rPr>
          <w:rFonts w:eastAsia="等线" w:ascii="Arial" w:cs="Arial" w:hAnsi="Arial"/>
          <w:b w:val="true"/>
          <w:sz w:val="30"/>
        </w:rPr>
        <w:t>6.3 深耕本土文化品牌，打造沪派江南乡村品牌体系</w:t>
      </w:r>
      <w:bookmarkEnd w:id="51"/>
    </w:p>
    <w:p>
      <w:pPr>
        <w:spacing w:before="120" w:after="120" w:line="288" w:lineRule="auto"/>
        <w:ind w:left="0"/>
        <w:jc w:val="left"/>
      </w:pPr>
      <w:r>
        <w:rPr>
          <w:rFonts w:eastAsia="等线" w:ascii="Arial" w:cs="Arial" w:hAnsi="Arial"/>
          <w:sz w:val="22"/>
        </w:rPr>
        <w:t>立足上海圩田、水网、海塘、绞圈房等独有乡土资源，避免同质化文旅复制，打造差异化、体系化、可持续的上海乡村文化品牌矩阵，实现文化价值深度转化。</w:t>
      </w:r>
    </w:p>
    <w:p>
      <w:pPr>
        <w:pStyle w:val="3"/>
        <w:spacing w:before="300" w:after="120" w:line="288" w:lineRule="auto"/>
        <w:ind w:left="0"/>
        <w:jc w:val="left"/>
        <w:outlineLvl w:val="2"/>
      </w:pPr>
      <w:bookmarkStart w:name="heading_52" w:id="52"/>
      <w:r>
        <w:rPr>
          <w:rFonts w:eastAsia="等线" w:ascii="Arial" w:cs="Arial" w:hAnsi="Arial"/>
          <w:b w:val="true"/>
          <w:sz w:val="30"/>
        </w:rPr>
        <w:t>6.4 推动数智化场景落地，实现技术精准赋能</w:t>
      </w:r>
      <w:bookmarkEnd w:id="52"/>
    </w:p>
    <w:p>
      <w:pPr>
        <w:spacing w:before="120" w:after="120" w:line="288" w:lineRule="auto"/>
        <w:ind w:left="0"/>
        <w:jc w:val="left"/>
      </w:pPr>
      <w:r>
        <w:rPr>
          <w:rFonts w:eastAsia="等线" w:ascii="Arial" w:cs="Arial" w:hAnsi="Arial"/>
          <w:sz w:val="22"/>
        </w:rPr>
        <w:t>聚焦农业智慧生产、乡村智慧治理、片区智慧运营、文旅智慧服务四大场景，打通数据壁垒，发挥 D 数智底座价值，推动数字技术从 “平台建设” 转向 “场景实效”，全面赋能乡村多功能运营</w:t>
      </w:r>
      <w:r>
        <w:rPr>
          <w:rFonts w:eastAsia="等线" w:ascii="Arial" w:cs="Arial" w:hAnsi="Arial"/>
          <w:sz w:val="22"/>
        </w:rPr>
      </w:r>
      <m:oMathPara>
        <m:oMathParaPr>
          <m:jc m:val="left"/>
        </m:oMathParaPr>
        <m:oMath xmlns:mml="http://www.w3.org/1998/Math/MathML">
          <m:r>
            <w:rPr>
              <w:rFonts w:ascii="Cambria Math" w:hAnsi="Cambria Math"/>
            </w:rPr>
            <m:t>16</m:t>
          </m:r>
        </m:oMath>
      </m:oMathPara>
      <w:r>
        <w:rPr>
          <w:rFonts w:eastAsia="等线" w:ascii="Arial" w:cs="Arial" w:hAnsi="Arial"/>
          <w:sz w:val="22"/>
        </w:rPr>
        <w:t>。</w:t>
      </w:r>
    </w:p>
    <w:p>
      <w:pPr>
        <w:pStyle w:val="3"/>
        <w:spacing w:before="300" w:after="120" w:line="288" w:lineRule="auto"/>
        <w:ind w:left="0"/>
        <w:jc w:val="left"/>
        <w:outlineLvl w:val="2"/>
      </w:pPr>
      <w:bookmarkStart w:name="heading_53" w:id="53"/>
      <w:r>
        <w:rPr>
          <w:rFonts w:eastAsia="等线" w:ascii="Arial" w:cs="Arial" w:hAnsi="Arial"/>
          <w:b w:val="true"/>
          <w:sz w:val="30"/>
        </w:rPr>
        <w:t>6.5 完善资源价值转化链条，强化内生造血能力</w:t>
      </w:r>
      <w:bookmarkEnd w:id="53"/>
    </w:p>
    <w:p>
      <w:pPr>
        <w:spacing w:before="120" w:after="120" w:line="288" w:lineRule="auto"/>
        <w:ind w:left="0"/>
        <w:jc w:val="left"/>
      </w:pPr>
      <w:r>
        <w:rPr>
          <w:rFonts w:eastAsia="等线" w:ascii="Arial" w:cs="Arial" w:hAnsi="Arial"/>
          <w:sz w:val="22"/>
        </w:rPr>
        <w:t>深化全域土地综合整治、集体资产盘活，延伸一二三产融合产业链条，完善资源入股、项目共建、收益分红机制，最大化释放乡村生态、文化、空间价值</w:t>
      </w:r>
      <w:r>
        <w:rPr>
          <w:rFonts w:eastAsia="等线" w:ascii="Arial" w:cs="Arial" w:hAnsi="Arial"/>
          <w:sz w:val="22"/>
        </w:rPr>
      </w:r>
      <m:oMathPara>
        <m:oMathParaPr>
          <m:jc m:val="left"/>
        </m:oMathParaPr>
        <m:oMath xmlns:mml="http://www.w3.org/1998/Math/MathML">
          <m:r>
            <w:rPr>
              <w:rFonts w:ascii="Cambria Math" w:hAnsi="Cambria Math"/>
            </w:rPr>
            <m:t>13</m:t>
          </m:r>
        </m:oMath>
      </m:oMathPara>
      <w:r>
        <w:rPr>
          <w:rFonts w:eastAsia="等线" w:ascii="Arial" w:cs="Arial" w:hAnsi="Arial"/>
          <w:sz w:val="22"/>
        </w:rPr>
        <w:t>。</w:t>
      </w:r>
    </w:p>
    <w:p>
      <w:pPr>
        <w:pStyle w:val="3"/>
        <w:spacing w:before="300" w:after="120" w:line="288" w:lineRule="auto"/>
        <w:ind w:left="0"/>
        <w:jc w:val="left"/>
        <w:outlineLvl w:val="2"/>
      </w:pPr>
      <w:bookmarkStart w:name="heading_54" w:id="54"/>
      <w:r>
        <w:rPr>
          <w:rFonts w:eastAsia="等线" w:ascii="Arial" w:cs="Arial" w:hAnsi="Arial"/>
          <w:b w:val="true"/>
          <w:sz w:val="30"/>
        </w:rPr>
        <w:t>6.6 健全多元协同机制，构建共建共享格局</w:t>
      </w:r>
      <w:bookmarkEnd w:id="54"/>
    </w:p>
    <w:p>
      <w:pPr>
        <w:spacing w:before="120" w:after="120" w:line="288" w:lineRule="auto"/>
        <w:ind w:left="0"/>
        <w:jc w:val="left"/>
      </w:pPr>
      <w:r>
        <w:rPr>
          <w:rFonts w:eastAsia="等线" w:ascii="Arial" w:cs="Arial" w:hAnsi="Arial"/>
          <w:sz w:val="22"/>
        </w:rPr>
        <w:t>明确政府、集体、社会企业、村民的权责边界，建立稳定的利益联结、风险分担、收益共享机制，平衡公共属性与市场属性。依托 S‑EPCO‑D 做好多元主体统筹协调，实现乡村多元功能可持续发展。</w:t>
      </w:r>
    </w:p>
    <w:p>
      <w:pPr>
        <w:pStyle w:val="2"/>
        <w:spacing w:before="320" w:after="120" w:line="288" w:lineRule="auto"/>
        <w:ind w:left="0"/>
        <w:jc w:val="left"/>
        <w:outlineLvl w:val="1"/>
      </w:pPr>
      <w:bookmarkStart w:name="heading_55" w:id="55"/>
      <w:r>
        <w:rPr>
          <w:rFonts w:eastAsia="等线" w:ascii="Arial" w:cs="Arial" w:hAnsi="Arial"/>
          <w:b w:val="true"/>
          <w:sz w:val="32"/>
        </w:rPr>
        <w:t>七、结论与展望</w:t>
      </w:r>
      <w:bookmarkEnd w:id="55"/>
    </w:p>
    <w:p>
      <w:pPr>
        <w:pStyle w:val="3"/>
        <w:spacing w:before="300" w:after="120" w:line="288" w:lineRule="auto"/>
        <w:ind w:left="0"/>
        <w:jc w:val="left"/>
        <w:outlineLvl w:val="2"/>
      </w:pPr>
      <w:bookmarkStart w:name="heading_56" w:id="56"/>
      <w:r>
        <w:rPr>
          <w:rFonts w:eastAsia="等线" w:ascii="Arial" w:cs="Arial" w:hAnsi="Arial"/>
          <w:b w:val="true"/>
          <w:sz w:val="30"/>
        </w:rPr>
        <w:t>7.1 主要结论</w:t>
      </w:r>
      <w:bookmarkEnd w:id="56"/>
    </w:p>
    <w:p>
      <w:pPr>
        <w:spacing w:before="120" w:after="120" w:line="288" w:lineRule="auto"/>
        <w:ind w:left="0"/>
        <w:jc w:val="left"/>
      </w:pPr>
      <w:r>
        <w:rPr>
          <w:rFonts w:eastAsia="等线" w:ascii="Arial" w:cs="Arial" w:hAnsi="Arial"/>
          <w:sz w:val="22"/>
        </w:rPr>
        <w:t>第一，</w:t>
      </w:r>
      <w:r>
        <w:rPr>
          <w:rFonts w:eastAsia="等线" w:ascii="Arial" w:cs="Arial" w:hAnsi="Arial"/>
          <w:b w:val="true"/>
          <w:sz w:val="22"/>
        </w:rPr>
        <w:t>农业农村现代化具有显著地域差异性</w:t>
      </w:r>
      <w:r>
        <w:rPr>
          <w:rFonts w:eastAsia="等线" w:ascii="Arial" w:cs="Arial" w:hAnsi="Arial"/>
          <w:sz w:val="22"/>
        </w:rPr>
        <w:t>。中西部、中小城市乡村以单一生产功能现代化为主，而上海超大城市乡村现代化内嵌于城乡深度融合格局，是兼顾村民现代生活、城市公共服务的</w:t>
      </w:r>
      <w:r>
        <w:rPr>
          <w:rFonts w:eastAsia="等线" w:ascii="Arial" w:cs="Arial" w:hAnsi="Arial"/>
          <w:b w:val="true"/>
          <w:sz w:val="22"/>
        </w:rPr>
        <w:t>多功能复合型现代化</w:t>
      </w:r>
      <w:r>
        <w:rPr>
          <w:rFonts w:eastAsia="等线" w:ascii="Arial" w:cs="Arial" w:hAnsi="Arial"/>
          <w:sz w:val="22"/>
        </w:rPr>
      </w:r>
      <m:oMathPara>
        <m:oMathParaPr>
          <m:jc m:val="left"/>
        </m:oMathParaPr>
        <m:oMath xmlns:mml="http://www.w3.org/1998/Math/MathML">
          <m:r>
            <w:rPr>
              <w:rFonts w:ascii="Cambria Math" w:hAnsi="Cambria Math"/>
            </w:rPr>
            <m:t>2</m:t>
          </m:r>
        </m:oMath>
      </m:oMathPara>
      <w:r>
        <w:rPr>
          <w:rFonts w:eastAsia="等线" w:ascii="Arial" w:cs="Arial" w:hAnsi="Arial"/>
          <w:sz w:val="22"/>
        </w:rPr>
        <w:t>。</w:t>
      </w:r>
    </w:p>
    <w:p>
      <w:pPr>
        <w:spacing w:before="120" w:after="120" w:line="288" w:lineRule="auto"/>
        <w:ind w:left="0"/>
        <w:jc w:val="left"/>
      </w:pPr>
      <w:r>
        <w:rPr>
          <w:rFonts w:eastAsia="等线" w:ascii="Arial" w:cs="Arial" w:hAnsi="Arial"/>
          <w:sz w:val="22"/>
        </w:rPr>
        <w:t>第二，</w:t>
      </w:r>
      <w:r>
        <w:rPr>
          <w:rFonts w:eastAsia="等线" w:ascii="Arial" w:cs="Arial" w:hAnsi="Arial"/>
          <w:b w:val="true"/>
          <w:sz w:val="22"/>
        </w:rPr>
        <w:t>城乡深度融合是上海乡村多功能转型的根本动因</w:t>
      </w:r>
      <w:r>
        <w:rPr>
          <w:rFonts w:eastAsia="等线" w:ascii="Arial" w:cs="Arial" w:hAnsi="Arial"/>
          <w:sz w:val="22"/>
        </w:rPr>
        <w:t>。城市要素外溢、消费升级与土地资源紧约束，共同倒逼上海乡村突破单一功能局限，走向生产、生态、文化、生活、消费多功能协同发展</w:t>
      </w:r>
      <w:r>
        <w:rPr>
          <w:rFonts w:eastAsia="等线" w:ascii="Arial" w:cs="Arial" w:hAnsi="Arial"/>
          <w:sz w:val="22"/>
        </w:rPr>
      </w:r>
      <m:oMathPara>
        <m:oMathParaPr>
          <m:jc m:val="left"/>
        </m:oMathParaPr>
        <m:oMath xmlns:mml="http://www.w3.org/1998/Math/MathML">
          <m:r>
            <w:rPr>
              <w:rFonts w:ascii="Cambria Math" w:hAnsi="Cambria Math"/>
            </w:rPr>
            <m:t>5</m:t>
          </m:r>
        </m:oMath>
      </m:oMathPara>
      <w:r>
        <w:rPr>
          <w:rFonts w:eastAsia="等线" w:ascii="Arial" w:cs="Arial" w:hAnsi="Arial"/>
          <w:sz w:val="22"/>
        </w:rPr>
        <w:t>。</w:t>
      </w:r>
    </w:p>
    <w:p>
      <w:pPr>
        <w:spacing w:before="120" w:after="120" w:line="288" w:lineRule="auto"/>
        <w:ind w:left="0"/>
        <w:jc w:val="left"/>
      </w:pPr>
      <w:r>
        <w:rPr>
          <w:rFonts w:eastAsia="等线" w:ascii="Arial" w:cs="Arial" w:hAnsi="Arial"/>
          <w:sz w:val="22"/>
        </w:rPr>
        <w:t>第三，</w:t>
      </w:r>
      <w:r>
        <w:rPr>
          <w:rFonts w:eastAsia="等线" w:ascii="Arial" w:cs="Arial" w:hAnsi="Arial"/>
          <w:b w:val="true"/>
          <w:sz w:val="22"/>
        </w:rPr>
        <w:t>片区化是超大城市多功能乡村落地的必要空间载体</w:t>
      </w:r>
      <w:r>
        <w:rPr>
          <w:rFonts w:eastAsia="等线" w:ascii="Arial" w:cs="Arial" w:hAnsi="Arial"/>
          <w:sz w:val="22"/>
        </w:rPr>
        <w:t>。传统行政村单元无法承载城乡融合下的复合功能系统，片区化尺度重构是理论必然、政策必然、实践必然</w:t>
      </w:r>
      <w:r>
        <w:rPr>
          <w:rFonts w:eastAsia="等线" w:ascii="Arial" w:cs="Arial" w:hAnsi="Arial"/>
          <w:sz w:val="22"/>
        </w:rPr>
      </w:r>
      <m:oMathPara>
        <m:oMathParaPr>
          <m:jc m:val="left"/>
        </m:oMathParaPr>
        <m:oMath xmlns:mml="http://www.w3.org/1998/Math/MathML">
          <m:r>
            <w:rPr>
              <w:rFonts w:ascii="Cambria Math" w:hAnsi="Cambria Math"/>
            </w:rPr>
            <m:t>1,9</m:t>
          </m:r>
        </m:oMath>
      </m:oMathPara>
      <w:r>
        <w:rPr>
          <w:rFonts w:eastAsia="等线" w:ascii="Arial" w:cs="Arial" w:hAnsi="Arial"/>
          <w:sz w:val="22"/>
        </w:rPr>
        <w:t>。</w:t>
      </w:r>
    </w:p>
    <w:p>
      <w:pPr>
        <w:spacing w:before="120" w:after="120" w:line="288" w:lineRule="auto"/>
        <w:ind w:left="0"/>
        <w:jc w:val="left"/>
      </w:pPr>
      <w:r>
        <w:rPr>
          <w:rFonts w:eastAsia="等线" w:ascii="Arial" w:cs="Arial" w:hAnsi="Arial"/>
          <w:sz w:val="22"/>
        </w:rPr>
        <w:t>第四，上海乡村形成了</w:t>
      </w:r>
      <w:r>
        <w:rPr>
          <w:rFonts w:eastAsia="等线" w:ascii="Arial" w:cs="Arial" w:hAnsi="Arial"/>
          <w:b w:val="true"/>
          <w:sz w:val="22"/>
        </w:rPr>
        <w:t>片区化 — 一体化 — 文化品牌化 — 数智化 — 价值化 — 多元化</w:t>
      </w:r>
      <w:r>
        <w:rPr>
          <w:rFonts w:eastAsia="等线" w:ascii="Arial" w:cs="Arial" w:hAnsi="Arial"/>
          <w:sz w:val="22"/>
        </w:rPr>
        <w:t>的递进式转型体系，基于实践提炼 S‑EPCO‑D 超大城市乡村片区全周期落地模型，构建了区别于西方市场主导模式的</w:t>
      </w:r>
      <w:r>
        <w:rPr>
          <w:rFonts w:eastAsia="等线" w:ascii="Arial" w:cs="Arial" w:hAnsi="Arial"/>
          <w:b w:val="true"/>
          <w:sz w:val="22"/>
        </w:rPr>
        <w:t>中国式超大城市农业农村现代化路径</w:t>
      </w:r>
      <w:r>
        <w:rPr>
          <w:rFonts w:eastAsia="等线" w:ascii="Arial" w:cs="Arial" w:hAnsi="Arial"/>
          <w:sz w:val="22"/>
        </w:rPr>
      </w:r>
      <m:oMathPara>
        <m:oMathParaPr>
          <m:jc m:val="left"/>
        </m:oMathParaPr>
        <m:oMath xmlns:mml="http://www.w3.org/1998/Math/MathML">
          <m:r>
            <w:rPr>
              <w:rFonts w:ascii="Cambria Math" w:hAnsi="Cambria Math"/>
            </w:rPr>
            <m:t>11,14</m:t>
          </m:r>
        </m:oMath>
      </m:oMathPara>
      <w:r>
        <w:rPr>
          <w:rFonts w:eastAsia="等线" w:ascii="Arial" w:cs="Arial" w:hAnsi="Arial"/>
          <w:sz w:val="22"/>
        </w:rPr>
        <w:t>。</w:t>
      </w:r>
    </w:p>
    <w:p>
      <w:pPr>
        <w:pStyle w:val="3"/>
        <w:spacing w:before="300" w:after="120" w:line="288" w:lineRule="auto"/>
        <w:ind w:left="0"/>
        <w:jc w:val="left"/>
        <w:outlineLvl w:val="2"/>
      </w:pPr>
      <w:bookmarkStart w:name="heading_57" w:id="57"/>
      <w:r>
        <w:rPr>
          <w:rFonts w:eastAsia="等线" w:ascii="Arial" w:cs="Arial" w:hAnsi="Arial"/>
          <w:b w:val="true"/>
          <w:sz w:val="30"/>
        </w:rPr>
        <w:t>7.2 研究不足与展望</w:t>
      </w:r>
      <w:bookmarkEnd w:id="57"/>
    </w:p>
    <w:p>
      <w:pPr>
        <w:spacing w:before="120" w:after="120" w:line="288" w:lineRule="auto"/>
        <w:ind w:left="0"/>
        <w:jc w:val="left"/>
      </w:pPr>
      <w:r>
        <w:rPr>
          <w:rFonts w:eastAsia="等线" w:ascii="Arial" w:cs="Arial" w:hAnsi="Arial"/>
          <w:sz w:val="22"/>
        </w:rPr>
        <w:t>本文以上海为例探讨超大城市乡村多功能现代化路径，未来可进一步对比北京、广州、深圳等超大城市实践，深化不同超大城市场景下的乡村现代化差异化研究。同时，乡村片区统筹利益分配、长效市场化运营机制、S‑EPCO‑D 模型多案例实证校验仍是未来重点探索方向。</w:t>
      </w:r>
    </w:p>
    <w:p>
      <w:pPr>
        <w:pStyle w:val="2"/>
        <w:spacing w:before="320" w:after="120" w:line="288" w:lineRule="auto"/>
        <w:ind w:left="0"/>
        <w:jc w:val="left"/>
        <w:outlineLvl w:val="1"/>
      </w:pPr>
      <w:bookmarkStart w:name="heading_58" w:id="58"/>
      <w:r>
        <w:rPr>
          <w:rFonts w:eastAsia="等线" w:ascii="Arial" w:cs="Arial" w:hAnsi="Arial"/>
          <w:b w:val="true"/>
          <w:sz w:val="32"/>
        </w:rPr>
        <w:t>参考文献</w:t>
      </w:r>
      <w:bookmarkEnd w:id="58"/>
    </w:p>
    <w:p>
      <w:pPr>
        <w:spacing w:before="120" w:after="120" w:line="288" w:lineRule="auto"/>
        <w:ind w:left="0"/>
        <w:jc w:val="left"/>
      </w:pPr>
      <w:r>
        <w:rPr>
          <w:rFonts w:eastAsia="等线" w:ascii="Arial" w:cs="Arial" w:hAnsi="Arial"/>
          <w:sz w:val="22"/>
        </w:rPr>
        <w:t>[1] 刘彦随，周扬，李玉恒。中国乡村地域系统与乡村振兴战略 [J]. 地理学报，2019,74 (12):2511‑2528.</w:t>
        <w:br/>
        <w:t>[2] 刘彦随。中国新时代城乡融合与乡村振兴 [J]. 地理科学进展，2018,37 (05):577‑586.</w:t>
        <w:br/>
        <w:t>[3] 张荣天，张小林。长三角乡村多功能时空演化特征与驱动机制 [J]. 农业工程学报，2022,38 (13):264‑272.</w:t>
        <w:br/>
        <w:t>[4] 龙花楼，陈坤秋。基于土地系统科学的土地利用转型与城乡融合发展 [J]. 地理学报，2021,76 (02):295‑309.</w:t>
        <w:br/>
        <w:t>[5] 张海鹏。中国城乡关系演变 70 年：从分割到融合 [J]. 中国农村经济，2019 (03):2‑18.</w:t>
        <w:br/>
        <w:t>[6] 杨忍，龙花楼，陈秧分。中国式乡村现代化理论与实践研究前沿探索 (代序)[J]. 地理研究，2026,45 (02):283‑308.</w:t>
        <w:br/>
        <w:t>[7] 王亚华。创造乡村优质生活空间，推进以人为本的乡村振兴 [J]. 中国农村经济，2025 (12):18‑21.</w:t>
        <w:br/>
        <w:t>[8] 李婷婷，张小林，胡晓亮，等。超越新内生发展视角下多元主体推动乡村特色化多功能转型的过程与机制 —— 以南京佘村为例 [J]. 人文地理，2025,40 (02):110‑118.</w:t>
        <w:br/>
        <w:t>[9] 廖敏伶，李明。片区化推进乡村振兴的理论逻辑、典型模式和制度安排 [J]. 当代经济管理，2026 (网络首发).</w:t>
        <w:br/>
        <w:t>[10] 吴江华。大都市郊区乡村转型路径与规划响应 —— 以上海市川沙新镇郊野乡村为例 [J]. 小城镇建设，2025,43 (03):45‑52.</w:t>
        <w:br/>
        <w:t>[11] 胡晓亮，张小林，李红波。西方乡村后生产主义理论研究述评及启示 [J]. 资源科学，2025,47 (06):1121‑1132.</w:t>
        <w:br/>
        <w:t>[12] 徐雪，王永瑜。城乡融合的逻辑机理、多维测度及区域协调发展研究 —— 基于新型城镇化与乡村振兴协调推进视角 [J]. 农业经济问题，2023 (11):49‑62.</w:t>
        <w:br/>
        <w:t>[13] 曲衍波，龙花楼，胡守庚。乡村国土空间价值提升与治理体系构建：挑战、路径与发展 [J]. 自然资源学报，2026 (网络首发).</w:t>
        <w:br/>
        <w:t>[14] Holmes J. Impulses towards a multifunctional transition in rural Australia: Gaps in the research agenda [J]. Journal of Rural Studies,2006,22 (2):142‑160.</w:t>
        <w:br/>
      </w:r>
      <w:r>
        <w:rPr>
          <w:rFonts w:eastAsia="等线" w:ascii="Arial" w:cs="Arial" w:hAnsi="Arial"/>
          <w:sz w:val="22"/>
        </w:rPr>
        <w:t>[15] Marsden T. Rural futures: the consumption countryside and its regulation [J]. Sociologia Ruralis,1998,38 (1):1‑16.</w:t>
      </w:r>
    </w:p>
    <w:p>
      <w:pPr>
        <w:pStyle w:val="3"/>
        <w:spacing w:before="300" w:after="120" w:line="288" w:lineRule="auto"/>
        <w:ind w:left="0"/>
        <w:jc w:val="left"/>
        <w:outlineLvl w:val="2"/>
      </w:pPr>
      <w:bookmarkStart w:name="heading_59" w:id="59"/>
      <w:r>
        <w:rPr>
          <w:rFonts w:eastAsia="等线" w:ascii="Arial" w:cs="Arial" w:hAnsi="Arial"/>
          <w:b w:val="true"/>
          <w:sz w:val="30"/>
        </w:rPr>
        <w:t>政策文件（GB/T7714‑2015）</w:t>
      </w:r>
      <w:bookmarkEnd w:id="59"/>
    </w:p>
    <w:p>
      <w:pPr>
        <w:spacing w:before="120" w:after="120" w:line="288" w:lineRule="auto"/>
        <w:ind w:left="0"/>
        <w:jc w:val="left"/>
      </w:pPr>
      <w:r>
        <w:rPr>
          <w:rFonts w:eastAsia="等线" w:ascii="Arial" w:cs="Arial" w:hAnsi="Arial"/>
          <w:sz w:val="22"/>
        </w:rPr>
        <w:t>[16] 上海市人民政府。上海市 “十五五” 乡村振兴规划 [Z].2025.</w:t>
        <w:br/>
        <w:t>[17] 上海市委，上海市人民政府。关于锚定农业农村现代化扎实推进上海乡村全面振兴的实施意见 [Z].2025.</w:t>
        <w:br/>
        <w:t>[18] 中共中央，国务院。乡村振兴促进法 [Z].2021.</w:t>
        <w:br/>
      </w:r>
      <w:r>
        <w:rPr>
          <w:rFonts w:eastAsia="等线" w:ascii="Arial" w:cs="Arial" w:hAnsi="Arial"/>
          <w:sz w:val="22"/>
        </w:rPr>
        <w:t>[19] 中共中央，国务院。关于全面推进乡村振兴加快农业农村现代化的意见 [Z].2021.</w:t>
      </w:r>
    </w:p>
    <w:p>
      <w:pPr>
        <w:pBdr>
          <w:bottom w:val="single" w:color="dee0e3"/>
          <w:between w:val="single" w:color="dee0e3"/>
        </w:pBdr>
        <w:spacing w:before="120" w:after="120" w:line="288" w:lineRule="auto"/>
        <w:ind w:left="0"/>
      </w:pPr>
    </w:p>
    <w:p>
      <w:pPr>
        <w:pStyle w:val="1"/>
        <w:spacing w:before="380" w:after="140" w:line="288" w:lineRule="auto"/>
        <w:ind w:left="0"/>
        <w:jc w:val="left"/>
        <w:outlineLvl w:val="0"/>
      </w:pPr>
      <w:bookmarkStart w:name="heading_60" w:id="60"/>
      <w:r>
        <w:rPr>
          <w:rFonts w:eastAsia="等线" w:ascii="Arial" w:cs="Arial" w:hAnsi="Arial"/>
          <w:b w:val="true"/>
          <w:sz w:val="36"/>
        </w:rPr>
        <w:t>配套使用提示</w:t>
      </w:r>
      <w:bookmarkEnd w:id="60"/>
    </w:p>
    <w:p>
      <w:pPr>
        <w:numPr>
          <w:numId w:val="12"/>
        </w:numPr>
        <w:spacing w:before="120" w:after="120" w:line="288" w:lineRule="auto"/>
        <w:ind w:left="0"/>
        <w:jc w:val="left"/>
      </w:pPr>
      <w:r>
        <w:rPr>
          <w:rFonts w:eastAsia="等线" w:ascii="Arial" w:cs="Arial" w:hAnsi="Arial"/>
          <w:b w:val="true"/>
          <w:sz w:val="22"/>
        </w:rPr>
        <w:t>材料口径区分</w:t>
      </w:r>
    </w:p>
    <w:p>
      <w:pPr>
        <w:numPr>
          <w:numId w:val="13"/>
        </w:numPr>
        <w:spacing w:before="120" w:after="120" w:line="288" w:lineRule="auto"/>
        <w:ind w:left="0"/>
        <w:jc w:val="left"/>
      </w:pPr>
      <w:r>
        <w:rPr>
          <w:rFonts w:eastAsia="等线" w:ascii="Arial" w:cs="Arial" w:hAnsi="Arial"/>
          <w:sz w:val="22"/>
        </w:rPr>
        <w:t>论文：</w:t>
      </w:r>
      <w:r>
        <w:rPr>
          <w:rFonts w:eastAsia="等线" w:ascii="Arial" w:cs="Arial" w:hAnsi="Arial"/>
          <w:b w:val="true"/>
          <w:sz w:val="22"/>
        </w:rPr>
        <w:t>文化品牌化、S‑EPCO‑D</w:t>
      </w:r>
    </w:p>
    <w:p>
      <w:pPr>
        <w:numPr>
          <w:numId w:val="14"/>
        </w:numPr>
        <w:spacing w:before="120" w:after="120" w:line="288" w:lineRule="auto"/>
        <w:ind w:left="0"/>
        <w:jc w:val="left"/>
      </w:pPr>
      <w:r>
        <w:rPr>
          <w:rFonts w:eastAsia="等线" w:ascii="Arial" w:cs="Arial" w:hAnsi="Arial"/>
          <w:sz w:val="22"/>
        </w:rPr>
        <w:t>PPT、演讲稿：依旧用</w:t>
      </w:r>
      <w:r>
        <w:rPr>
          <w:rFonts w:eastAsia="等线" w:ascii="Arial" w:cs="Arial" w:hAnsi="Arial"/>
          <w:b w:val="true"/>
          <w:sz w:val="22"/>
        </w:rPr>
        <w:t>IP 化、S‑EPCO‑D</w:t>
      </w:r>
      <w:r>
        <w:rPr>
          <w:rFonts w:eastAsia="等线" w:ascii="Arial" w:cs="Arial" w:hAnsi="Arial"/>
          <w:sz w:val="22"/>
        </w:rPr>
        <w:t>，汇报口语不受论文名词约束。</w:t>
      </w:r>
    </w:p>
    <w:p>
      <w:pPr>
        <w:numPr>
          <w:numId w:val="15"/>
        </w:numPr>
        <w:spacing w:before="120" w:after="120" w:line="288" w:lineRule="auto"/>
        <w:ind w:left="0"/>
        <w:jc w:val="left"/>
      </w:pPr>
      <w:r>
        <w:rPr>
          <w:rFonts w:eastAsia="等线" w:ascii="Arial" w:cs="Arial" w:hAnsi="Arial"/>
          <w:sz w:val="22"/>
        </w:rPr>
        <w:t>如果你需要，我可以下一步：</w:t>
      </w:r>
    </w:p>
    <w:p>
      <w:pPr>
        <w:numPr>
          <w:numId w:val="16"/>
        </w:numPr>
        <w:spacing w:before="120" w:after="120" w:line="288" w:lineRule="auto"/>
        <w:ind w:left="0"/>
        <w:jc w:val="left"/>
      </w:pPr>
      <w:r>
        <w:rPr>
          <w:rFonts w:eastAsia="等线" w:ascii="Arial" w:cs="Arial" w:hAnsi="Arial"/>
          <w:sz w:val="22"/>
        </w:rPr>
        <w:t>版本 A：压缩 8000 字期刊投稿版；</w:t>
      </w:r>
    </w:p>
    <w:p>
      <w:pPr>
        <w:numPr>
          <w:numId w:val="17"/>
        </w:numPr>
        <w:spacing w:before="120" w:after="120" w:line="288" w:lineRule="auto"/>
        <w:ind w:left="0"/>
        <w:jc w:val="left"/>
      </w:pPr>
      <w:r>
        <w:rPr>
          <w:rFonts w:eastAsia="等线" w:ascii="Arial" w:cs="Arial" w:hAnsi="Arial"/>
          <w:sz w:val="22"/>
        </w:rPr>
        <w:t>版本 B：补充 1 个上海片区案例段落放进第三章；</w:t>
      </w:r>
    </w:p>
    <w:p>
      <w:pPr>
        <w:numPr>
          <w:numId w:val="18"/>
        </w:numPr>
        <w:spacing w:before="120" w:after="120" w:line="288" w:lineRule="auto"/>
        <w:ind w:left="0"/>
        <w:jc w:val="left"/>
      </w:pPr>
      <w:r>
        <w:rPr>
          <w:rFonts w:eastAsia="等线" w:ascii="Arial" w:cs="Arial" w:hAnsi="Arial"/>
          <w:sz w:val="22"/>
        </w:rPr>
        <w:t>版本 C：生成论文‑PPT‑演讲稿三者名词对照表，方便你对外交付。</w:t>
      </w:r>
    </w:p>
    <w:p>
      <w:pPr>
        <w:spacing w:before="120" w:after="120" w:line="288" w:lineRule="auto"/>
        <w:ind w:left="0"/>
        <w:jc w:val="left"/>
      </w:pPr>
      <w:r>
        <w:rPr>
          <w:rFonts w:eastAsia="等线" w:ascii="Arial" w:cs="Arial" w:hAnsi="Arial"/>
          <w:sz w:val="22"/>
        </w:rPr>
        <w:t>|（注：部分内容可能由 AI 生成）</w:t>
      </w:r>
    </w:p>
    <w:sectPr>
      <w:footerReference w:type="default" r:id="rId3"/>
      <w:headerReference w:type="default" r:id="rId5"/>
      <w:pgSz w:orient="portrait" w:h="16840" w:w="11905"/>
    </w:sectPr>
  </w:body>
</w:document>
</file>

<file path=word/footer1.xml><?xml version="1.0" encoding="utf-8"?>
<w:ftr xmlns:w="http://schemas.openxmlformats.org/wordprocessingml/2006/main">
  <w:p/>
</w:ftr>
</file>

<file path=word/header1.xml><?xml version="1.0" encoding="utf-8"?>
<w:hdr xmlns:w="http://schemas.openxmlformats.org/wordprocessingml/2006/main">
  <w:p/>
</w:hdr>
</file>

<file path=word/numbering.xml><?xml version="1.0" encoding="utf-8"?>
<w:numbering xmlns:w="http://schemas.openxmlformats.org/wordprocessingml/2006/main">
  <w:abstractNum w:abstractNumId="698697">
    <w:lvl>
      <w:start w:val="1"/>
      <w:numFmt w:val="decimal"/>
      <w:suff w:val="tab"/>
      <w:lvlText w:val="%1."/>
      <w:rPr>
        <w:color w:val="3370ff"/>
      </w:rPr>
    </w:lvl>
  </w:abstractNum>
  <w:abstractNum w:abstractNumId="698698">
    <w:lvl>
      <w:start w:val="2"/>
      <w:numFmt w:val="decimal"/>
      <w:suff w:val="tab"/>
      <w:lvlText w:val="%1."/>
      <w:rPr>
        <w:color w:val="3370ff"/>
      </w:rPr>
    </w:lvl>
  </w:abstractNum>
  <w:abstractNum w:abstractNumId="698699">
    <w:lvl>
      <w:start w:val="3"/>
      <w:numFmt w:val="decimal"/>
      <w:suff w:val="tab"/>
      <w:lvlText w:val="%1."/>
      <w:rPr>
        <w:color w:val="3370ff"/>
      </w:rPr>
    </w:lvl>
  </w:abstractNum>
  <w:abstractNum w:abstractNumId="698700">
    <w:lvl>
      <w:start w:val="4"/>
      <w:numFmt w:val="decimal"/>
      <w:suff w:val="tab"/>
      <w:lvlText w:val="%1."/>
      <w:rPr>
        <w:color w:val="3370ff"/>
      </w:rPr>
    </w:lvl>
  </w:abstractNum>
  <w:abstractNum w:abstractNumId="698701">
    <w:lvl>
      <w:start w:val="5"/>
      <w:numFmt w:val="decimal"/>
      <w:suff w:val="tab"/>
      <w:lvlText w:val="%1."/>
      <w:rPr>
        <w:color w:val="3370ff"/>
      </w:rPr>
    </w:lvl>
  </w:abstractNum>
  <w:abstractNum w:abstractNumId="698702">
    <w:lvl>
      <w:start w:val="1"/>
      <w:numFmt w:val="decimal"/>
      <w:suff w:val="tab"/>
      <w:lvlText w:val="%1."/>
      <w:rPr>
        <w:color w:val="3370ff"/>
      </w:rPr>
    </w:lvl>
  </w:abstractNum>
  <w:abstractNum w:abstractNumId="698703">
    <w:lvl>
      <w:start w:val="2"/>
      <w:numFmt w:val="decimal"/>
      <w:suff w:val="tab"/>
      <w:lvlText w:val="%1."/>
      <w:rPr>
        <w:color w:val="3370ff"/>
      </w:rPr>
    </w:lvl>
  </w:abstractNum>
  <w:abstractNum w:abstractNumId="698704">
    <w:lvl>
      <w:start w:val="3"/>
      <w:numFmt w:val="decimal"/>
      <w:suff w:val="tab"/>
      <w:lvlText w:val="%1."/>
      <w:rPr>
        <w:color w:val="3370ff"/>
      </w:rPr>
    </w:lvl>
  </w:abstractNum>
  <w:abstractNum w:abstractNumId="698705">
    <w:lvl>
      <w:start w:val="4"/>
      <w:numFmt w:val="decimal"/>
      <w:suff w:val="tab"/>
      <w:lvlText w:val="%1."/>
      <w:rPr>
        <w:color w:val="3370ff"/>
      </w:rPr>
    </w:lvl>
  </w:abstractNum>
  <w:abstractNum w:abstractNumId="698706">
    <w:lvl>
      <w:start w:val="5"/>
      <w:numFmt w:val="decimal"/>
      <w:suff w:val="tab"/>
      <w:lvlText w:val="%1."/>
      <w:rPr>
        <w:color w:val="3370ff"/>
      </w:rPr>
    </w:lvl>
  </w:abstractNum>
  <w:abstractNum w:abstractNumId="698707">
    <w:lvl>
      <w:start w:val="6"/>
      <w:numFmt w:val="decimal"/>
      <w:suff w:val="tab"/>
      <w:lvlText w:val="%1."/>
      <w:rPr>
        <w:color w:val="3370ff"/>
      </w:rPr>
    </w:lvl>
  </w:abstractNum>
  <w:abstractNum w:abstractNumId="698708">
    <w:lvl>
      <w:start w:val="1"/>
      <w:numFmt w:val="decimal"/>
      <w:suff w:val="tab"/>
      <w:lvlText w:val="%1."/>
      <w:rPr>
        <w:color w:val="3370ff"/>
      </w:rPr>
    </w:lvl>
  </w:abstractNum>
  <w:abstractNum w:abstractNumId="698709">
    <w:lvl>
      <w:numFmt w:val="bullet"/>
      <w:suff w:val="tab"/>
      <w:lvlText w:val="•"/>
      <w:rPr>
        <w:color w:val="3370ff"/>
      </w:rPr>
    </w:lvl>
  </w:abstractNum>
  <w:abstractNum w:abstractNumId="698710">
    <w:lvl>
      <w:numFmt w:val="bullet"/>
      <w:suff w:val="tab"/>
      <w:lvlText w:val="•"/>
      <w:rPr>
        <w:color w:val="3370ff"/>
      </w:rPr>
    </w:lvl>
  </w:abstractNum>
  <w:abstractNum w:abstractNumId="698711">
    <w:lvl>
      <w:start w:val="2"/>
      <w:numFmt w:val="decimal"/>
      <w:suff w:val="tab"/>
      <w:lvlText w:val="%1."/>
      <w:rPr>
        <w:color w:val="3370ff"/>
      </w:rPr>
    </w:lvl>
  </w:abstractNum>
  <w:abstractNum w:abstractNumId="698712">
    <w:lvl>
      <w:numFmt w:val="bullet"/>
      <w:suff w:val="tab"/>
      <w:lvlText w:val="•"/>
      <w:rPr>
        <w:color w:val="3370ff"/>
      </w:rPr>
    </w:lvl>
  </w:abstractNum>
  <w:abstractNum w:abstractNumId="698713">
    <w:lvl>
      <w:numFmt w:val="bullet"/>
      <w:suff w:val="tab"/>
      <w:lvlText w:val="•"/>
      <w:rPr>
        <w:color w:val="3370ff"/>
      </w:rPr>
    </w:lvl>
  </w:abstractNum>
  <w:abstractNum w:abstractNumId="698714">
    <w:lvl>
      <w:numFmt w:val="bullet"/>
      <w:suff w:val="tab"/>
      <w:lvlText w:val="•"/>
      <w:rPr>
        <w:color w:val="3370ff"/>
      </w:rPr>
    </w:lvl>
  </w:abstractNum>
  <w:num w:numId="1">
    <w:abstractNumId w:val="698697"/>
  </w:num>
  <w:num w:numId="2">
    <w:abstractNumId w:val="698698"/>
  </w:num>
  <w:num w:numId="3">
    <w:abstractNumId w:val="698699"/>
  </w:num>
  <w:num w:numId="4">
    <w:abstractNumId w:val="698700"/>
  </w:num>
  <w:num w:numId="5">
    <w:abstractNumId w:val="698701"/>
  </w:num>
  <w:num w:numId="6">
    <w:abstractNumId w:val="698702"/>
  </w:num>
  <w:num w:numId="7">
    <w:abstractNumId w:val="698703"/>
  </w:num>
  <w:num w:numId="8">
    <w:abstractNumId w:val="698704"/>
  </w:num>
  <w:num w:numId="9">
    <w:abstractNumId w:val="698705"/>
  </w:num>
  <w:num w:numId="10">
    <w:abstractNumId w:val="698706"/>
  </w:num>
  <w:num w:numId="11">
    <w:abstractNumId w:val="698707"/>
  </w:num>
  <w:num w:numId="12">
    <w:abstractNumId w:val="698708"/>
  </w:num>
  <w:num w:numId="13">
    <w:abstractNumId w:val="698709"/>
  </w:num>
  <w:num w:numId="14">
    <w:abstractNumId w:val="698710"/>
  </w:num>
  <w:num w:numId="15">
    <w:abstractNumId w:val="698711"/>
  </w:num>
  <w:num w:numId="16">
    <w:abstractNumId w:val="698712"/>
  </w:num>
  <w:num w:numId="17">
    <w:abstractNumId w:val="698713"/>
  </w:num>
  <w:num w:numId="18">
    <w:abstractNumId w:val="698714"/>
  </w:num>
</w:numbering>
</file>

<file path=word/settings.xml><?xml version="1.0" encoding="utf-8"?>
<w:settings xmlns:w="http://schemas.openxmlformats.org/wordprocessingml/2006/main"/>
</file>

<file path=word/styles.xml><?xml version="1.0" encoding="utf-8"?>
<w:styles xmlns:w="http://schemas.openxmlformats.org/wordprocessingml/2006/main"/>
</file>

<file path=word/_rels/document.xml.rels><?xml version="1.0" encoding="UTF-8" standalone="yes"?><Relationships xmlns="http://schemas.openxmlformats.org/package/2006/relationships"><Relationship Id="rId1" Target="settings.xml" Type="http://schemas.openxmlformats.org/officeDocument/2006/relationships/settings"/><Relationship Id="rId2" Target="styles.xml" Type="http://schemas.openxmlformats.org/officeDocument/2006/relationships/styles"/><Relationship Id="rId3" Target="footer1.xml" Type="http://schemas.openxmlformats.org/officeDocument/2006/relationships/footer"/><Relationship Id="rId4" Target="numbering.xml" Type="http://schemas.openxmlformats.org/officeDocument/2006/relationships/numbering"/><Relationship Id="rId5" Target="header1.xml" Type="http://schemas.openxmlformats.org/officeDocument/2006/relationships/header"/></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2026-09-06T06:41:53Z</dcterms:created>
  <dc:creator>Apache POI</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{"Label":"1","ContentProducer":"001191110102MACQD9K64010000","ProduceID":"7682308791392865495","ReservedCode1":"","ContentPropagator":"","PropagateID":"","ReservedCode2":""}</vt:lpwstr>
  </property>
</Properties>
</file>